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A56F5" w14:paraId="1B4EEEEE" w14:textId="77777777" w:rsidTr="00826D53">
        <w:trPr>
          <w:trHeight w:val="282"/>
        </w:trPr>
        <w:tc>
          <w:tcPr>
            <w:tcW w:w="500" w:type="dxa"/>
            <w:vMerge w:val="restart"/>
            <w:tcBorders>
              <w:bottom w:val="nil"/>
            </w:tcBorders>
            <w:textDirection w:val="btLr"/>
          </w:tcPr>
          <w:p w14:paraId="345B6660" w14:textId="77777777" w:rsidR="00A80767" w:rsidRPr="00B24FC9"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317345FF"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8240" behindDoc="1" locked="1" layoutInCell="1" allowOverlap="1" wp14:anchorId="12F4A1BC" wp14:editId="4DED5E1F">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870">
              <w:rPr>
                <w:rFonts w:cs="Tahoma"/>
                <w:b/>
                <w:bCs/>
                <w:color w:val="365F91" w:themeColor="accent1" w:themeShade="BF"/>
                <w:szCs w:val="22"/>
              </w:rPr>
              <w:t>World Meteorological Organization</w:t>
            </w:r>
          </w:p>
          <w:p w14:paraId="2E51084D" w14:textId="77777777" w:rsidR="00A80767" w:rsidRPr="00B24FC9" w:rsidRDefault="00044870"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EXECUTIVE COUNCIL</w:t>
            </w:r>
          </w:p>
          <w:p w14:paraId="75B84271" w14:textId="77777777" w:rsidR="00A80767" w:rsidRPr="00B24FC9" w:rsidRDefault="00044870"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Seventy-Eighth Session</w:t>
            </w:r>
            <w:r w:rsidR="00A80767" w:rsidRPr="00B24FC9">
              <w:rPr>
                <w:rFonts w:cstheme="minorBidi"/>
                <w:b/>
                <w:snapToGrid w:val="0"/>
                <w:color w:val="365F91" w:themeColor="accent1" w:themeShade="BF"/>
                <w:szCs w:val="22"/>
              </w:rPr>
              <w:br/>
            </w:r>
            <w:r>
              <w:rPr>
                <w:snapToGrid w:val="0"/>
                <w:color w:val="365F91" w:themeColor="accent1" w:themeShade="BF"/>
                <w:szCs w:val="22"/>
              </w:rPr>
              <w:t>10 to 14 June 2024, Geneva</w:t>
            </w:r>
          </w:p>
        </w:tc>
        <w:tc>
          <w:tcPr>
            <w:tcW w:w="2962" w:type="dxa"/>
          </w:tcPr>
          <w:p w14:paraId="38D9EC67" w14:textId="6986815E" w:rsidR="00A80767" w:rsidRPr="00FA3986" w:rsidRDefault="00044870"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EC-78/INF. 3</w:t>
            </w:r>
            <w:r w:rsidR="00761376">
              <w:rPr>
                <w:rFonts w:cs="Tahoma"/>
                <w:b/>
                <w:bCs/>
                <w:color w:val="365F91" w:themeColor="accent1" w:themeShade="BF"/>
                <w:szCs w:val="22"/>
                <w:lang w:val="fr-FR"/>
              </w:rPr>
              <w:t>.</w:t>
            </w:r>
            <w:r w:rsidR="003B150E">
              <w:rPr>
                <w:rFonts w:cs="Tahoma"/>
                <w:b/>
                <w:bCs/>
                <w:color w:val="365F91" w:themeColor="accent1" w:themeShade="BF"/>
                <w:szCs w:val="22"/>
                <w:lang w:val="fr-FR"/>
              </w:rPr>
              <w:t>1(2)</w:t>
            </w:r>
          </w:p>
        </w:tc>
      </w:tr>
      <w:tr w:rsidR="00A80767" w:rsidRPr="00B24FC9" w14:paraId="747F5197" w14:textId="77777777" w:rsidTr="00826D53">
        <w:trPr>
          <w:trHeight w:val="730"/>
        </w:trPr>
        <w:tc>
          <w:tcPr>
            <w:tcW w:w="500" w:type="dxa"/>
            <w:vMerge/>
            <w:tcBorders>
              <w:bottom w:val="nil"/>
            </w:tcBorders>
          </w:tcPr>
          <w:p w14:paraId="3E30ED30"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76082446"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31648977" w14:textId="516A3D48" w:rsidR="00A80767" w:rsidRPr="00B24FC9"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Pr="00E56B4A">
              <w:rPr>
                <w:rFonts w:cs="Tahoma"/>
                <w:color w:val="365F91" w:themeColor="accent1" w:themeShade="BF"/>
                <w:szCs w:val="22"/>
              </w:rPr>
              <w:t>Secretary-General</w:t>
            </w:r>
            <w:r w:rsidRPr="00B24FC9">
              <w:rPr>
                <w:rFonts w:cs="Tahoma"/>
                <w:color w:val="365F91" w:themeColor="accent1" w:themeShade="BF"/>
                <w:szCs w:val="22"/>
              </w:rPr>
              <w:t xml:space="preserve"> </w:t>
            </w:r>
          </w:p>
          <w:p w14:paraId="78FA73C4" w14:textId="72C32544" w:rsidR="00A80767" w:rsidRPr="00B24FC9" w:rsidRDefault="00E56B4A"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2</w:t>
            </w:r>
            <w:r w:rsidR="00044870">
              <w:rPr>
                <w:rFonts w:cs="Tahoma"/>
                <w:color w:val="365F91" w:themeColor="accent1" w:themeShade="BF"/>
                <w:szCs w:val="22"/>
              </w:rPr>
              <w:t>.I</w:t>
            </w:r>
            <w:r>
              <w:rPr>
                <w:rFonts w:cs="Tahoma"/>
                <w:color w:val="365F91" w:themeColor="accent1" w:themeShade="BF"/>
                <w:szCs w:val="22"/>
              </w:rPr>
              <w:t>V</w:t>
            </w:r>
            <w:r w:rsidR="00044870">
              <w:rPr>
                <w:rFonts w:cs="Tahoma"/>
                <w:color w:val="365F91" w:themeColor="accent1" w:themeShade="BF"/>
                <w:szCs w:val="22"/>
              </w:rPr>
              <w:t>.2024</w:t>
            </w:r>
          </w:p>
          <w:p w14:paraId="3B3828BB"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536A0EE2" w14:textId="57490A54" w:rsidR="00BC133C" w:rsidRDefault="00C52DAC" w:rsidP="00044870">
      <w:pPr>
        <w:pStyle w:val="Heading2"/>
      </w:pPr>
      <w:r>
        <w:t xml:space="preserve">PILLAR 2 </w:t>
      </w:r>
      <w:r w:rsidR="00AF7356">
        <w:t>RAPID ASSESSMENT</w:t>
      </w:r>
      <w:r w:rsidR="00B96CA7">
        <w:t>:</w:t>
      </w:r>
      <w:r w:rsidR="00AF7356">
        <w:t xml:space="preserve"> </w:t>
      </w:r>
      <w:r w:rsidR="00B96CA7">
        <w:t>HAZARD MONITORING AND FORECASTING</w:t>
      </w:r>
    </w:p>
    <w:p w14:paraId="0EB47A2F" w14:textId="62B8964F" w:rsidR="00345F17" w:rsidRPr="00345F17" w:rsidRDefault="00345F17" w:rsidP="00345F17">
      <w:pPr>
        <w:pStyle w:val="WMOBodyText"/>
        <w:jc w:val="center"/>
        <w:rPr>
          <w:i/>
          <w:iCs/>
        </w:rPr>
      </w:pPr>
      <w:r w:rsidRPr="0080121B">
        <w:rPr>
          <w:i/>
          <w:iCs/>
          <w:highlight w:val="lightGray"/>
        </w:rPr>
        <w:t>[</w:t>
      </w:r>
      <w:r>
        <w:rPr>
          <w:i/>
          <w:iCs/>
          <w:highlight w:val="lightGray"/>
        </w:rPr>
        <w:t xml:space="preserve">Version for TCC-PAC. The </w:t>
      </w:r>
      <w:r w:rsidRPr="0080121B">
        <w:rPr>
          <w:i/>
          <w:iCs/>
          <w:highlight w:val="lightGray"/>
        </w:rPr>
        <w:t xml:space="preserve">document </w:t>
      </w:r>
      <w:r w:rsidR="001B6907">
        <w:rPr>
          <w:i/>
          <w:iCs/>
          <w:highlight w:val="lightGray"/>
        </w:rPr>
        <w:t xml:space="preserve">is </w:t>
      </w:r>
      <w:r>
        <w:rPr>
          <w:i/>
          <w:iCs/>
          <w:highlight w:val="lightGray"/>
        </w:rPr>
        <w:t xml:space="preserve">being </w:t>
      </w:r>
      <w:r w:rsidRPr="0080121B">
        <w:rPr>
          <w:i/>
          <w:iCs/>
          <w:highlight w:val="lightGray"/>
        </w:rPr>
        <w:t>proofread for EC-78]</w:t>
      </w:r>
    </w:p>
    <w:p w14:paraId="1ACB32D1" w14:textId="77777777" w:rsidR="00952347" w:rsidRPr="00350018" w:rsidRDefault="00952347" w:rsidP="00952347">
      <w:pPr>
        <w:keepNext/>
        <w:outlineLvl w:val="0"/>
        <w:rPr>
          <w:b/>
          <w:bCs/>
        </w:rPr>
      </w:pPr>
      <w:r w:rsidRPr="00350018">
        <w:rPr>
          <w:b/>
          <w:bCs/>
        </w:rPr>
        <w:t>Background</w:t>
      </w:r>
    </w:p>
    <w:p w14:paraId="00693DA4" w14:textId="77777777" w:rsidR="00952347" w:rsidRPr="00350018" w:rsidRDefault="00952347" w:rsidP="00952347">
      <w:pPr>
        <w:contextualSpacing/>
      </w:pPr>
    </w:p>
    <w:p w14:paraId="606E7B84" w14:textId="0EB3F5CA" w:rsidR="00952347" w:rsidRPr="00350018" w:rsidRDefault="00952347" w:rsidP="000F1C39">
      <w:pPr>
        <w:numPr>
          <w:ilvl w:val="0"/>
          <w:numId w:val="1"/>
        </w:numPr>
        <w:ind w:left="0" w:firstLine="0"/>
        <w:contextualSpacing/>
        <w:jc w:val="left"/>
      </w:pPr>
      <w:r w:rsidRPr="00350018">
        <w:t xml:space="preserve">The launch of the Early Warnings for All (EW4All) Initiative saw a sharp increase in the demand for monitoring data, particularly on the capacity of the 30 countries selected for coordinated assistance. Whereas the WMO Monitoring and Evaluation System provided useful insights into global and regional trends, the information lacked the granularity required to inform technical assistance planning and infrastructure investments. </w:t>
      </w:r>
    </w:p>
    <w:p w14:paraId="098566FA" w14:textId="77777777" w:rsidR="00952347" w:rsidRPr="00350018" w:rsidRDefault="00952347" w:rsidP="00952347">
      <w:pPr>
        <w:contextualSpacing/>
      </w:pPr>
    </w:p>
    <w:p w14:paraId="3283E6C8" w14:textId="52E41A95" w:rsidR="003F30E3" w:rsidRDefault="00952347" w:rsidP="005D3108">
      <w:pPr>
        <w:numPr>
          <w:ilvl w:val="0"/>
          <w:numId w:val="1"/>
        </w:numPr>
        <w:ind w:left="0" w:firstLine="0"/>
        <w:contextualSpacing/>
        <w:jc w:val="left"/>
      </w:pPr>
      <w:r w:rsidRPr="00350018">
        <w:t xml:space="preserve">To facilitate these processes and establish a baseline on capacity, WMO undertook a two-pronged approach involving: (a) the development of a rapid assessment methodology for appraising the monitoring and forecasting capacity of the 30 countries, including for specific priority hazards; and (b) the conduct of Country </w:t>
      </w:r>
      <w:proofErr w:type="spellStart"/>
      <w:r w:rsidRPr="00350018">
        <w:t>Hydromet</w:t>
      </w:r>
      <w:proofErr w:type="spellEnd"/>
      <w:r w:rsidRPr="00350018">
        <w:t xml:space="preserve"> Diagnostics (CHD) in all 30 countries as part of the </w:t>
      </w:r>
      <w:r w:rsidR="005D3108" w:rsidRPr="005D3108">
        <w:t>Systematic Observations Financing Facility</w:t>
      </w:r>
      <w:r w:rsidR="005D3108">
        <w:t xml:space="preserve"> (</w:t>
      </w:r>
      <w:r w:rsidRPr="00350018">
        <w:t>SOFF</w:t>
      </w:r>
      <w:r w:rsidR="005D3108">
        <w:t>)</w:t>
      </w:r>
      <w:r w:rsidRPr="00350018">
        <w:t xml:space="preserve"> Readiness Phase.</w:t>
      </w:r>
      <w:r w:rsidRPr="000B276C">
        <w:rPr>
          <w:vertAlign w:val="superscript"/>
        </w:rPr>
        <w:footnoteReference w:id="2"/>
      </w:r>
      <w:r w:rsidRPr="00350018">
        <w:t xml:space="preserve"> The former tool provides a detailed view on the countries’ capacity for early warnings; the latter offers a big picture perspective on the </w:t>
      </w:r>
      <w:r w:rsidR="005F49CB" w:rsidRPr="005F49CB">
        <w:t>National Meteorological and Hydrological Services</w:t>
      </w:r>
      <w:r w:rsidR="005F49CB">
        <w:t xml:space="preserve"> (</w:t>
      </w:r>
      <w:r w:rsidRPr="00350018">
        <w:t>NMHS</w:t>
      </w:r>
      <w:r w:rsidR="005F49CB">
        <w:t>)</w:t>
      </w:r>
      <w:r w:rsidRPr="00350018">
        <w:t xml:space="preserve"> operating environment and contribution to weather, climate, hydrological and environmental services and warnings. </w:t>
      </w:r>
    </w:p>
    <w:p w14:paraId="5B6D3E8D" w14:textId="77777777" w:rsidR="001B1236" w:rsidRDefault="001B1236" w:rsidP="001B1236">
      <w:pPr>
        <w:contextualSpacing/>
        <w:jc w:val="left"/>
      </w:pPr>
    </w:p>
    <w:p w14:paraId="4D438E97" w14:textId="77777777" w:rsidR="00952347" w:rsidRPr="00350018" w:rsidRDefault="00952347" w:rsidP="000F1C39">
      <w:pPr>
        <w:numPr>
          <w:ilvl w:val="0"/>
          <w:numId w:val="1"/>
        </w:numPr>
        <w:ind w:left="0" w:firstLine="0"/>
        <w:contextualSpacing/>
        <w:jc w:val="left"/>
      </w:pPr>
      <w:r w:rsidRPr="00350018">
        <w:t xml:space="preserve">The two methodologies are aligned to each other and the self-reported data that feeds the Rapid Assessment is being validated through the peer advisors conducting CHDs in-situ as well as through the WMO Regional Offices and project managers. </w:t>
      </w:r>
    </w:p>
    <w:p w14:paraId="33C21D95" w14:textId="77777777" w:rsidR="00952347" w:rsidRPr="00350018" w:rsidRDefault="00952347" w:rsidP="00952347">
      <w:pPr>
        <w:contextualSpacing/>
      </w:pPr>
    </w:p>
    <w:p w14:paraId="47FE81F4" w14:textId="6CDCDEE2" w:rsidR="00952347" w:rsidRPr="00350018" w:rsidRDefault="00143A88" w:rsidP="00952347">
      <w:pPr>
        <w:keepNext/>
        <w:contextualSpacing/>
        <w:outlineLvl w:val="0"/>
        <w:rPr>
          <w:b/>
          <w:bCs/>
        </w:rPr>
      </w:pPr>
      <w:r>
        <w:rPr>
          <w:b/>
          <w:bCs/>
        </w:rPr>
        <w:t xml:space="preserve">Purpose </w:t>
      </w:r>
    </w:p>
    <w:p w14:paraId="09CC417D" w14:textId="77777777" w:rsidR="00952347" w:rsidRPr="00350018" w:rsidRDefault="00952347" w:rsidP="00952347">
      <w:pPr>
        <w:contextualSpacing/>
      </w:pPr>
    </w:p>
    <w:p w14:paraId="60EC0908" w14:textId="5E2833C4" w:rsidR="00143A88" w:rsidRPr="0071554B" w:rsidRDefault="00143A88" w:rsidP="00143A88">
      <w:pPr>
        <w:numPr>
          <w:ilvl w:val="0"/>
          <w:numId w:val="1"/>
        </w:numPr>
        <w:ind w:left="0" w:firstLine="0"/>
        <w:contextualSpacing/>
        <w:jc w:val="left"/>
      </w:pPr>
      <w:r w:rsidRPr="0071554B">
        <w:t xml:space="preserve">The purpose </w:t>
      </w:r>
      <w:r>
        <w:t xml:space="preserve">of the Pillar 2 Rapid Assessment </w:t>
      </w:r>
      <w:r w:rsidR="00A76F4C">
        <w:t>i</w:t>
      </w:r>
      <w:r w:rsidRPr="0071554B">
        <w:t xml:space="preserve">s to inform the planning stage of the </w:t>
      </w:r>
      <w:r w:rsidR="00CD2008">
        <w:t xml:space="preserve">EW4All </w:t>
      </w:r>
      <w:r w:rsidRPr="0071554B">
        <w:t xml:space="preserve">Initiative through baseline data and analysis. </w:t>
      </w:r>
      <w:r w:rsidR="00CD2008">
        <w:t xml:space="preserve">It </w:t>
      </w:r>
      <w:r w:rsidRPr="0071554B">
        <w:t>is also intended to identify the areas with the biggest capacity gaps so that technical assistance and investments could be better targeted.</w:t>
      </w:r>
    </w:p>
    <w:p w14:paraId="0CD19FCC" w14:textId="77777777" w:rsidR="00143A88" w:rsidRDefault="00143A88" w:rsidP="00143A88">
      <w:pPr>
        <w:contextualSpacing/>
        <w:jc w:val="left"/>
      </w:pPr>
    </w:p>
    <w:p w14:paraId="31064787" w14:textId="77777777" w:rsidR="00143A88" w:rsidRPr="00350018" w:rsidRDefault="00143A88" w:rsidP="00143A88">
      <w:pPr>
        <w:keepNext/>
        <w:contextualSpacing/>
        <w:outlineLvl w:val="0"/>
        <w:rPr>
          <w:b/>
          <w:bCs/>
        </w:rPr>
      </w:pPr>
      <w:r w:rsidRPr="00350018">
        <w:rPr>
          <w:b/>
          <w:bCs/>
        </w:rPr>
        <w:t>Methodology</w:t>
      </w:r>
    </w:p>
    <w:p w14:paraId="16B4CC17" w14:textId="77777777" w:rsidR="00143A88" w:rsidRDefault="00143A88" w:rsidP="00143A88">
      <w:pPr>
        <w:contextualSpacing/>
        <w:jc w:val="left"/>
      </w:pPr>
    </w:p>
    <w:p w14:paraId="7BF915B3" w14:textId="359266A1" w:rsidR="00952347" w:rsidRPr="00350018" w:rsidRDefault="00952347" w:rsidP="00F806CD">
      <w:pPr>
        <w:numPr>
          <w:ilvl w:val="0"/>
          <w:numId w:val="1"/>
        </w:numPr>
        <w:ind w:left="0" w:firstLine="0"/>
        <w:contextualSpacing/>
        <w:jc w:val="left"/>
      </w:pPr>
      <w:r w:rsidRPr="00350018">
        <w:t>The Rapid Assessment methodology is aligned with the elements and maturity levels of CHD</w:t>
      </w:r>
      <w:r>
        <w:t xml:space="preserve"> as well as with the Pillar </w:t>
      </w:r>
      <w:r w:rsidR="00102BD7">
        <w:t>2</w:t>
      </w:r>
      <w:r>
        <w:t xml:space="preserve"> Implementation Strategy</w:t>
      </w:r>
      <w:r w:rsidRPr="00350018">
        <w:t>. It is also based on relevant components of the Multi-Hazard Early Warning System (MHEWS) Checklist,</w:t>
      </w:r>
      <w:r w:rsidRPr="000B276C">
        <w:rPr>
          <w:vertAlign w:val="superscript"/>
        </w:rPr>
        <w:footnoteReference w:id="3"/>
      </w:r>
      <w:r w:rsidRPr="00350018">
        <w:t xml:space="preserve"> CDEMA Checklist</w:t>
      </w:r>
      <w:r w:rsidRPr="000B276C">
        <w:rPr>
          <w:vertAlign w:val="superscript"/>
        </w:rPr>
        <w:footnoteReference w:id="4"/>
      </w:r>
      <w:r w:rsidRPr="00350018">
        <w:t xml:space="preserve"> </w:t>
      </w:r>
      <w:r w:rsidRPr="00350018">
        <w:lastRenderedPageBreak/>
        <w:t>and the</w:t>
      </w:r>
      <w:r w:rsidR="00F806CD">
        <w:t xml:space="preserve"> </w:t>
      </w:r>
      <w:r w:rsidR="00F806CD" w:rsidRPr="00F806CD">
        <w:t>Climate Risk and Early Warning Systems</w:t>
      </w:r>
      <w:r w:rsidRPr="00350018">
        <w:t xml:space="preserve"> </w:t>
      </w:r>
      <w:r w:rsidR="00810785">
        <w:t>(</w:t>
      </w:r>
      <w:r w:rsidRPr="00350018">
        <w:t>CREWS</w:t>
      </w:r>
      <w:r w:rsidR="00810785">
        <w:t>)</w:t>
      </w:r>
      <w:r w:rsidRPr="00350018">
        <w:t xml:space="preserve"> Custom MHEWS Indicators.</w:t>
      </w:r>
      <w:r w:rsidRPr="000B276C">
        <w:rPr>
          <w:vertAlign w:val="superscript"/>
        </w:rPr>
        <w:footnoteReference w:id="5"/>
      </w:r>
      <w:r w:rsidRPr="00350018">
        <w:t xml:space="preserve"> It is structured along </w:t>
      </w:r>
      <w:r w:rsidR="008C504D">
        <w:t xml:space="preserve">the following </w:t>
      </w:r>
      <w:r w:rsidRPr="00350018">
        <w:t xml:space="preserve">seven elements of the hydrometeorological value chain: </w:t>
      </w:r>
    </w:p>
    <w:p w14:paraId="1DC26433" w14:textId="77777777" w:rsidR="00952347" w:rsidRPr="00350018" w:rsidRDefault="00952347" w:rsidP="00952347">
      <w:pPr>
        <w:ind w:left="720"/>
        <w:contextualSpacing/>
      </w:pPr>
    </w:p>
    <w:p w14:paraId="458AA8DB" w14:textId="2C147F49" w:rsidR="00952347" w:rsidRPr="00350018" w:rsidRDefault="00E56B4A" w:rsidP="00AE426D">
      <w:pPr>
        <w:tabs>
          <w:tab w:val="clear" w:pos="1134"/>
          <w:tab w:val="left" w:pos="1276"/>
        </w:tabs>
        <w:ind w:left="1134" w:hanging="567"/>
        <w:contextualSpacing/>
        <w:jc w:val="left"/>
      </w:pPr>
      <w:r>
        <w:t>(</w:t>
      </w:r>
      <w:proofErr w:type="spellStart"/>
      <w:r>
        <w:t>i</w:t>
      </w:r>
      <w:proofErr w:type="spellEnd"/>
      <w:r>
        <w:t>)</w:t>
      </w:r>
      <w:r>
        <w:tab/>
      </w:r>
      <w:r w:rsidR="00952347" w:rsidRPr="00350018">
        <w:t>Legal framework and institutional mechanisms of the NMHS</w:t>
      </w:r>
    </w:p>
    <w:p w14:paraId="737CB977" w14:textId="0BFD575B" w:rsidR="00952347" w:rsidRPr="00350018" w:rsidRDefault="00E56B4A" w:rsidP="00AE426D">
      <w:pPr>
        <w:ind w:left="1134" w:hanging="567"/>
        <w:contextualSpacing/>
        <w:jc w:val="left"/>
      </w:pPr>
      <w:r>
        <w:t>(ii)</w:t>
      </w:r>
      <w:r>
        <w:tab/>
      </w:r>
      <w:r w:rsidR="00952347" w:rsidRPr="00350018">
        <w:t>Observation infrastructure</w:t>
      </w:r>
    </w:p>
    <w:p w14:paraId="12E3F741" w14:textId="52138924" w:rsidR="00952347" w:rsidRPr="00350018" w:rsidRDefault="00E56B4A" w:rsidP="00AE426D">
      <w:pPr>
        <w:ind w:left="1134" w:hanging="567"/>
        <w:contextualSpacing/>
        <w:jc w:val="left"/>
      </w:pPr>
      <w:r>
        <w:t>(iii)</w:t>
      </w:r>
      <w:r>
        <w:tab/>
      </w:r>
      <w:r w:rsidR="00952347" w:rsidRPr="00350018">
        <w:t>Hazard monitoring capacity</w:t>
      </w:r>
    </w:p>
    <w:p w14:paraId="4E91372E" w14:textId="4A80450C" w:rsidR="00952347" w:rsidRPr="00350018" w:rsidRDefault="00E56B4A" w:rsidP="00AE426D">
      <w:pPr>
        <w:tabs>
          <w:tab w:val="clear" w:pos="1134"/>
        </w:tabs>
        <w:ind w:left="1134" w:hanging="567"/>
        <w:contextualSpacing/>
        <w:jc w:val="left"/>
      </w:pPr>
      <w:r>
        <w:t>(iv)</w:t>
      </w:r>
      <w:r>
        <w:tab/>
      </w:r>
      <w:r w:rsidR="00952347" w:rsidRPr="00350018">
        <w:t>Use of remote-sensing data</w:t>
      </w:r>
    </w:p>
    <w:p w14:paraId="33FEACE3" w14:textId="10839E19" w:rsidR="00952347" w:rsidRPr="00350018" w:rsidRDefault="002E2963" w:rsidP="00AE426D">
      <w:pPr>
        <w:tabs>
          <w:tab w:val="clear" w:pos="1134"/>
        </w:tabs>
        <w:ind w:left="1134" w:hanging="567"/>
        <w:contextualSpacing/>
        <w:jc w:val="left"/>
      </w:pPr>
      <w:r>
        <w:t>(v)</w:t>
      </w:r>
      <w:r>
        <w:tab/>
      </w:r>
      <w:r w:rsidR="00952347" w:rsidRPr="00350018">
        <w:t>Use of numerical weather prediction (NWP) models and forecasting tool application</w:t>
      </w:r>
    </w:p>
    <w:p w14:paraId="4C3B5DC0" w14:textId="6135506D" w:rsidR="00952347" w:rsidRPr="00350018" w:rsidRDefault="002E2963" w:rsidP="00AE426D">
      <w:pPr>
        <w:tabs>
          <w:tab w:val="clear" w:pos="1134"/>
        </w:tabs>
        <w:ind w:left="1134" w:hanging="567"/>
        <w:contextualSpacing/>
        <w:jc w:val="left"/>
      </w:pPr>
      <w:r>
        <w:t>(vi)</w:t>
      </w:r>
      <w:r>
        <w:tab/>
      </w:r>
      <w:r w:rsidR="00952347" w:rsidRPr="00350018">
        <w:t xml:space="preserve">Impact-based forecasting capacity, and </w:t>
      </w:r>
    </w:p>
    <w:p w14:paraId="1C886E10" w14:textId="6F789446" w:rsidR="00952347" w:rsidRPr="00350018" w:rsidRDefault="002E2963" w:rsidP="00AE426D">
      <w:pPr>
        <w:tabs>
          <w:tab w:val="clear" w:pos="1134"/>
        </w:tabs>
        <w:ind w:left="1134" w:hanging="567"/>
        <w:contextualSpacing/>
        <w:jc w:val="left"/>
      </w:pPr>
      <w:r>
        <w:t>(vii)</w:t>
      </w:r>
      <w:r>
        <w:tab/>
      </w:r>
      <w:r w:rsidR="00952347" w:rsidRPr="00350018">
        <w:t>Warning services and early warning system operations</w:t>
      </w:r>
    </w:p>
    <w:p w14:paraId="38F31116" w14:textId="77777777" w:rsidR="00952347" w:rsidRPr="00350018" w:rsidRDefault="00952347" w:rsidP="00952347">
      <w:pPr>
        <w:ind w:left="720"/>
        <w:contextualSpacing/>
      </w:pPr>
    </w:p>
    <w:p w14:paraId="417DF83C" w14:textId="34380B3C" w:rsidR="00522F2A" w:rsidRDefault="00522F2A" w:rsidP="000F1C39">
      <w:pPr>
        <w:numPr>
          <w:ilvl w:val="0"/>
          <w:numId w:val="1"/>
        </w:numPr>
        <w:ind w:left="0" w:firstLine="0"/>
        <w:contextualSpacing/>
        <w:jc w:val="left"/>
      </w:pPr>
      <w:r w:rsidRPr="00522F2A">
        <w:t>Important enabling environment factors</w:t>
      </w:r>
      <w:r>
        <w:t xml:space="preserve"> are also</w:t>
      </w:r>
      <w:r w:rsidRPr="00522F2A">
        <w:t xml:space="preserve"> considered, such as the existence of legislation, governance mechanisms and financial as well as technological capabilities.</w:t>
      </w:r>
      <w:r>
        <w:t xml:space="preserve"> </w:t>
      </w:r>
    </w:p>
    <w:p w14:paraId="2199CD6F" w14:textId="77777777" w:rsidR="00522F2A" w:rsidRDefault="00522F2A" w:rsidP="00522F2A">
      <w:pPr>
        <w:contextualSpacing/>
        <w:jc w:val="left"/>
      </w:pPr>
    </w:p>
    <w:p w14:paraId="5FE35873" w14:textId="3150F845" w:rsidR="00952347" w:rsidRPr="00350018" w:rsidRDefault="00952347" w:rsidP="000F1C39">
      <w:pPr>
        <w:numPr>
          <w:ilvl w:val="0"/>
          <w:numId w:val="1"/>
        </w:numPr>
        <w:ind w:left="0" w:firstLine="0"/>
        <w:contextualSpacing/>
        <w:jc w:val="left"/>
      </w:pPr>
      <w:r w:rsidRPr="00350018">
        <w:t xml:space="preserve">The data collection </w:t>
      </w:r>
      <w:r w:rsidR="00E13086">
        <w:t xml:space="preserve">is </w:t>
      </w:r>
      <w:r w:rsidRPr="00350018">
        <w:t xml:space="preserve">conducted by means of </w:t>
      </w:r>
      <w:r w:rsidR="005A635E">
        <w:t xml:space="preserve">WMO-led </w:t>
      </w:r>
      <w:r w:rsidRPr="00350018">
        <w:t xml:space="preserve">structured interviews with the Permanent Representatives of the </w:t>
      </w:r>
      <w:r w:rsidR="000318EE">
        <w:t xml:space="preserve">respective country </w:t>
      </w:r>
      <w:r w:rsidRPr="00350018">
        <w:t>and designated NMHS staff</w:t>
      </w:r>
      <w:r w:rsidR="004A7B98">
        <w:t>. A</w:t>
      </w:r>
      <w:r w:rsidR="003A054C" w:rsidRPr="00350018">
        <w:t xml:space="preserve"> detailed questionnaire composed of 74 questions </w:t>
      </w:r>
      <w:r w:rsidR="004A7B98">
        <w:t xml:space="preserve">is used, which has been </w:t>
      </w:r>
      <w:r w:rsidR="003A054C" w:rsidRPr="00350018">
        <w:t>designed to collect both quantitative and qualitative data on the seven elements.</w:t>
      </w:r>
      <w:r w:rsidRPr="00350018">
        <w:t xml:space="preserve"> As a first step, respondents </w:t>
      </w:r>
      <w:r w:rsidR="00052D3E">
        <w:t>a</w:t>
      </w:r>
      <w:r w:rsidRPr="00350018">
        <w:t xml:space="preserve">re requested to select five priority hazards from the WMO Catalogue of Hazardous Events. For these, hazard-specific information </w:t>
      </w:r>
      <w:r w:rsidR="00052D3E">
        <w:t>i</w:t>
      </w:r>
      <w:r w:rsidRPr="00350018">
        <w:t xml:space="preserve">s further collected in the course of the interview (see example in Figure 1). </w:t>
      </w:r>
    </w:p>
    <w:p w14:paraId="2FC51D5A" w14:textId="77777777" w:rsidR="00952347" w:rsidRPr="00350018" w:rsidRDefault="00952347" w:rsidP="00952347">
      <w:pPr>
        <w:contextualSpacing/>
      </w:pPr>
    </w:p>
    <w:p w14:paraId="3803DCEA" w14:textId="7B4125F4" w:rsidR="00952347" w:rsidRDefault="00952347" w:rsidP="00F81BA7">
      <w:pPr>
        <w:contextualSpacing/>
        <w:jc w:val="center"/>
      </w:pPr>
      <w:r w:rsidRPr="000B276C">
        <w:rPr>
          <w:noProof/>
        </w:rPr>
        <w:drawing>
          <wp:inline distT="0" distB="0" distL="0" distR="0" wp14:anchorId="479491E7" wp14:editId="29AE1613">
            <wp:extent cx="2838450" cy="1960490"/>
            <wp:effectExtent l="0" t="0" r="114300" b="116205"/>
            <wp:docPr id="8" name="Picture 8">
              <a:extLst xmlns:a="http://schemas.openxmlformats.org/drawingml/2006/main">
                <a:ext uri="{FF2B5EF4-FFF2-40B4-BE49-F238E27FC236}">
                  <a16:creationId xmlns:a16="http://schemas.microsoft.com/office/drawing/2014/main" id="{37EBE422-3548-2C78-934D-71E24A7492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FF2B5EF4-FFF2-40B4-BE49-F238E27FC236}">
                          <a16:creationId xmlns:a16="http://schemas.microsoft.com/office/drawing/2014/main" id="{37EBE422-3548-2C78-934D-71E24A749275}"/>
                        </a:ext>
                      </a:extLst>
                    </pic:cNvPr>
                    <pic:cNvPicPr>
                      <a:picLocks noChangeAspect="1"/>
                    </pic:cNvPicPr>
                  </pic:nvPicPr>
                  <pic:blipFill>
                    <a:blip r:embed="rId12"/>
                    <a:stretch>
                      <a:fillRect/>
                    </a:stretch>
                  </pic:blipFill>
                  <pic:spPr>
                    <a:xfrm>
                      <a:off x="0" y="0"/>
                      <a:ext cx="2855539" cy="1972293"/>
                    </a:xfrm>
                    <a:prstGeom prst="rect">
                      <a:avLst/>
                    </a:prstGeom>
                    <a:noFill/>
                    <a:ln cap="flat">
                      <a:noFill/>
                    </a:ln>
                    <a:effectLst>
                      <a:outerShdw dist="139699" dir="2700000" algn="tl">
                        <a:srgbClr val="333333">
                          <a:alpha val="65000"/>
                        </a:srgbClr>
                      </a:outerShdw>
                    </a:effectLst>
                  </pic:spPr>
                </pic:pic>
              </a:graphicData>
            </a:graphic>
          </wp:inline>
        </w:drawing>
      </w:r>
    </w:p>
    <w:p w14:paraId="349F4431" w14:textId="77777777" w:rsidR="001B1236" w:rsidRPr="00350018" w:rsidRDefault="001B1236" w:rsidP="00F81BA7">
      <w:pPr>
        <w:contextualSpacing/>
        <w:jc w:val="center"/>
      </w:pPr>
    </w:p>
    <w:p w14:paraId="073EC0F9" w14:textId="2A387748" w:rsidR="00952347" w:rsidRPr="002E2963" w:rsidRDefault="00952347" w:rsidP="00F81BA7">
      <w:pPr>
        <w:spacing w:before="120"/>
        <w:contextualSpacing/>
        <w:jc w:val="center"/>
        <w:rPr>
          <w:b/>
          <w:bCs/>
        </w:rPr>
      </w:pPr>
      <w:r w:rsidRPr="002E2963">
        <w:rPr>
          <w:b/>
          <w:bCs/>
        </w:rPr>
        <w:t>Figure 1</w:t>
      </w:r>
      <w:r w:rsidR="002E2963">
        <w:rPr>
          <w:b/>
          <w:bCs/>
        </w:rPr>
        <w:t xml:space="preserve"> </w:t>
      </w:r>
      <w:r w:rsidRPr="002E2963">
        <w:rPr>
          <w:b/>
          <w:bCs/>
        </w:rPr>
        <w:t xml:space="preserve"> Example of hazard-specific data collected</w:t>
      </w:r>
    </w:p>
    <w:p w14:paraId="0D7DBA45" w14:textId="77777777" w:rsidR="00952347" w:rsidRPr="00350018" w:rsidRDefault="00952347" w:rsidP="00952347">
      <w:pPr>
        <w:contextualSpacing/>
      </w:pPr>
    </w:p>
    <w:p w14:paraId="633D5D1C" w14:textId="60DA63C6" w:rsidR="00952347" w:rsidRPr="00350018" w:rsidRDefault="00952347" w:rsidP="000F1C39">
      <w:pPr>
        <w:numPr>
          <w:ilvl w:val="0"/>
          <w:numId w:val="1"/>
        </w:numPr>
        <w:ind w:left="0" w:firstLine="0"/>
        <w:contextualSpacing/>
        <w:jc w:val="left"/>
      </w:pPr>
      <w:r w:rsidRPr="00350018">
        <w:t xml:space="preserve">The Rapid Assessment questions </w:t>
      </w:r>
      <w:r w:rsidR="00183019">
        <w:t>a</w:t>
      </w:r>
      <w:r w:rsidRPr="00350018">
        <w:t>re weighed based on the criticality of the criteria address</w:t>
      </w:r>
      <w:r w:rsidRPr="00350018">
        <w:rPr>
          <w:lang w:val="en-US"/>
        </w:rPr>
        <w:t>ed for the delivery of early warnings</w:t>
      </w:r>
      <w:r w:rsidRPr="00350018">
        <w:t xml:space="preserve">, the objectivity of the data, and the clarity of the concepts. </w:t>
      </w:r>
      <w:r w:rsidRPr="000B276C">
        <w:t>Once collected, e</w:t>
      </w:r>
      <w:r w:rsidRPr="00350018">
        <w:t xml:space="preserve">ach response </w:t>
      </w:r>
      <w:r w:rsidR="00183019">
        <w:t>i</w:t>
      </w:r>
      <w:r w:rsidRPr="00350018">
        <w:t xml:space="preserve">s coded (e.g. 0=criteria not met, 0.25=starting to be met, 0.5=partially met, 0.75=mostly met, 1=criteria fully met) and a capacity level calculated </w:t>
      </w:r>
      <w:r w:rsidRPr="000B276C">
        <w:t xml:space="preserve">(a) </w:t>
      </w:r>
      <w:r w:rsidRPr="00350018">
        <w:t>per element</w:t>
      </w:r>
      <w:r w:rsidRPr="000B276C">
        <w:t xml:space="preserve"> and (b) for the</w:t>
      </w:r>
      <w:r w:rsidRPr="00350018">
        <w:rPr>
          <w:lang w:val="en-US"/>
        </w:rPr>
        <w:t xml:space="preserve"> </w:t>
      </w:r>
      <w:r w:rsidRPr="000B276C">
        <w:t>Rapid Assessment as a whole</w:t>
      </w:r>
      <w:r w:rsidRPr="00350018">
        <w:t>. Th</w:t>
      </w:r>
      <w:r w:rsidRPr="000B276C">
        <w:t>is</w:t>
      </w:r>
      <w:r w:rsidRPr="00350018">
        <w:t xml:space="preserve"> level </w:t>
      </w:r>
      <w:r w:rsidR="00183019">
        <w:t>i</w:t>
      </w:r>
      <w:r w:rsidRPr="000B276C">
        <w:t>s</w:t>
      </w:r>
      <w:r w:rsidRPr="00350018">
        <w:t xml:space="preserve"> then </w:t>
      </w:r>
      <w:r w:rsidRPr="000B276C">
        <w:t>converted</w:t>
      </w:r>
      <w:r w:rsidRPr="00350018">
        <w:t xml:space="preserve"> </w:t>
      </w:r>
      <w:r w:rsidRPr="000B276C">
        <w:t>to</w:t>
      </w:r>
      <w:r w:rsidRPr="00350018">
        <w:t xml:space="preserve"> a scale of 1 to 5 to establish the overall capacity of the country, where </w:t>
      </w:r>
      <w:r w:rsidR="00CA72A1">
        <w:t>five</w:t>
      </w:r>
      <w:r w:rsidRPr="00350018">
        <w:t xml:space="preserve"> represents advanced capacity and </w:t>
      </w:r>
      <w:r w:rsidR="00CA72A1">
        <w:t>one</w:t>
      </w:r>
      <w:r w:rsidRPr="00350018">
        <w:t xml:space="preserve"> represents no or less than basic capacity. For each country, a scorecard </w:t>
      </w:r>
      <w:r w:rsidR="00183019">
        <w:t>i</w:t>
      </w:r>
      <w:r w:rsidRPr="00350018">
        <w:t>s developed (see Figure 2) presenting the overall capacity level with an executive summary detailing the status and needs of the NMHS as well as colour-coded bars indicating the level of each element of the value chain</w:t>
      </w:r>
      <w:r w:rsidRPr="00350018">
        <w:rPr>
          <w:lang w:val="en-US"/>
        </w:rPr>
        <w:t xml:space="preserve"> assessed</w:t>
      </w:r>
      <w:r w:rsidRPr="00350018">
        <w:t xml:space="preserve">. </w:t>
      </w:r>
    </w:p>
    <w:p w14:paraId="4429E738" w14:textId="77777777" w:rsidR="00952347" w:rsidRPr="00350018" w:rsidRDefault="00952347" w:rsidP="00952347">
      <w:pPr>
        <w:contextualSpacing/>
      </w:pPr>
    </w:p>
    <w:p w14:paraId="16982657" w14:textId="6D165FE3" w:rsidR="00952347" w:rsidRPr="00350018" w:rsidRDefault="00952347" w:rsidP="008C6EA8">
      <w:pPr>
        <w:contextualSpacing/>
        <w:jc w:val="center"/>
      </w:pPr>
      <w:r w:rsidRPr="000B276C">
        <w:rPr>
          <w:noProof/>
        </w:rPr>
        <w:lastRenderedPageBreak/>
        <w:drawing>
          <wp:inline distT="0" distB="0" distL="0" distR="0" wp14:anchorId="16919180" wp14:editId="6987909F">
            <wp:extent cx="3124200" cy="173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1814" cy="1743348"/>
                    </a:xfrm>
                    <a:prstGeom prst="rect">
                      <a:avLst/>
                    </a:prstGeom>
                  </pic:spPr>
                </pic:pic>
              </a:graphicData>
            </a:graphic>
          </wp:inline>
        </w:drawing>
      </w:r>
    </w:p>
    <w:p w14:paraId="0FDCBA77" w14:textId="77777777" w:rsidR="001B1236" w:rsidRDefault="001B1236" w:rsidP="002E2963">
      <w:pPr>
        <w:spacing w:before="120" w:after="480"/>
        <w:contextualSpacing/>
        <w:jc w:val="center"/>
        <w:rPr>
          <w:b/>
          <w:bCs/>
        </w:rPr>
      </w:pPr>
    </w:p>
    <w:p w14:paraId="660386A9" w14:textId="5D07D0A9" w:rsidR="00952347" w:rsidRPr="002E2963" w:rsidRDefault="00952347" w:rsidP="002E2963">
      <w:pPr>
        <w:spacing w:before="120" w:after="480"/>
        <w:contextualSpacing/>
        <w:jc w:val="center"/>
        <w:rPr>
          <w:b/>
          <w:bCs/>
        </w:rPr>
      </w:pPr>
      <w:r w:rsidRPr="002E2963">
        <w:rPr>
          <w:b/>
          <w:bCs/>
        </w:rPr>
        <w:t>Figure 2: Example scorecard</w:t>
      </w:r>
    </w:p>
    <w:p w14:paraId="3051DDEF" w14:textId="77777777" w:rsidR="00952347" w:rsidRPr="00350018" w:rsidRDefault="00952347" w:rsidP="00952347">
      <w:pPr>
        <w:ind w:left="720"/>
        <w:contextualSpacing/>
      </w:pPr>
    </w:p>
    <w:p w14:paraId="4FBBD9D0" w14:textId="77777777" w:rsidR="00952347" w:rsidRDefault="00952347" w:rsidP="000F1C39">
      <w:pPr>
        <w:numPr>
          <w:ilvl w:val="0"/>
          <w:numId w:val="1"/>
        </w:numPr>
        <w:ind w:left="0" w:firstLine="0"/>
        <w:contextualSpacing/>
        <w:jc w:val="left"/>
      </w:pPr>
      <w:r w:rsidRPr="00350018">
        <w:t xml:space="preserve">The five priority hazards identified by the NMHS are presented on the right-hand side of the scorecard. Whereas considerably more detailed data is required to be able to assess the monitoring and forecasting capacity of a country for specific hazards, the Rapid Assessment proved useful in detecting overall strengths and weaknesses in countries’ ability to tackle them. </w:t>
      </w:r>
    </w:p>
    <w:p w14:paraId="1F89BACE" w14:textId="77777777" w:rsidR="00DF0BF7" w:rsidRDefault="00DF0BF7" w:rsidP="00DF0BF7">
      <w:pPr>
        <w:keepNext/>
        <w:outlineLvl w:val="0"/>
        <w:rPr>
          <w:b/>
          <w:bCs/>
        </w:rPr>
      </w:pPr>
    </w:p>
    <w:p w14:paraId="1B94CB16" w14:textId="02EDD763" w:rsidR="00DF0BF7" w:rsidRPr="00DF0BF7" w:rsidRDefault="00202F72" w:rsidP="00DF0BF7">
      <w:pPr>
        <w:keepNext/>
        <w:outlineLvl w:val="0"/>
        <w:rPr>
          <w:b/>
          <w:bCs/>
        </w:rPr>
      </w:pPr>
      <w:r>
        <w:rPr>
          <w:b/>
          <w:bCs/>
        </w:rPr>
        <w:t>Data Validation</w:t>
      </w:r>
    </w:p>
    <w:p w14:paraId="2086E7A1" w14:textId="77777777" w:rsidR="00DF0BF7" w:rsidRDefault="00DF0BF7" w:rsidP="00DF0BF7">
      <w:pPr>
        <w:contextualSpacing/>
        <w:jc w:val="left"/>
      </w:pPr>
    </w:p>
    <w:p w14:paraId="0CC8B38E" w14:textId="725F3F75" w:rsidR="00A700E0" w:rsidRDefault="0069026B" w:rsidP="000F1C39">
      <w:pPr>
        <w:numPr>
          <w:ilvl w:val="0"/>
          <w:numId w:val="1"/>
        </w:numPr>
        <w:ind w:left="0" w:firstLine="0"/>
        <w:contextualSpacing/>
        <w:jc w:val="left"/>
      </w:pPr>
      <w:r>
        <w:t>A three</w:t>
      </w:r>
      <w:r w:rsidR="00794EB4">
        <w:t xml:space="preserve">-step data validation </w:t>
      </w:r>
      <w:r w:rsidR="008A7708">
        <w:t xml:space="preserve">process </w:t>
      </w:r>
      <w:r w:rsidR="00794EB4">
        <w:t>is followed</w:t>
      </w:r>
      <w:r w:rsidR="008A7708">
        <w:t xml:space="preserve"> to ensure </w:t>
      </w:r>
      <w:r w:rsidR="00443A56">
        <w:t xml:space="preserve">the </w:t>
      </w:r>
      <w:r w:rsidR="008A7708">
        <w:t>accuracy and reliability</w:t>
      </w:r>
      <w:r w:rsidR="00443A56">
        <w:t xml:space="preserve"> of the analysis</w:t>
      </w:r>
      <w:r w:rsidR="00C51A51">
        <w:t xml:space="preserve">: </w:t>
      </w:r>
    </w:p>
    <w:p w14:paraId="58430923" w14:textId="77777777" w:rsidR="00A700E0" w:rsidRDefault="00A700E0" w:rsidP="00A700E0">
      <w:pPr>
        <w:contextualSpacing/>
        <w:jc w:val="left"/>
      </w:pPr>
    </w:p>
    <w:p w14:paraId="49AC96D3" w14:textId="17DA5B19" w:rsidR="007F46D9" w:rsidRPr="007F46D9" w:rsidRDefault="0069026B" w:rsidP="002E2963">
      <w:pPr>
        <w:pStyle w:val="ListParagraph"/>
        <w:numPr>
          <w:ilvl w:val="0"/>
          <w:numId w:val="3"/>
        </w:numPr>
        <w:tabs>
          <w:tab w:val="clear" w:pos="1134"/>
        </w:tabs>
        <w:ind w:left="567" w:hanging="567"/>
        <w:jc w:val="left"/>
      </w:pPr>
      <w:r>
        <w:rPr>
          <w:i/>
          <w:iCs/>
        </w:rPr>
        <w:t>Data comple</w:t>
      </w:r>
      <w:r w:rsidR="00993C1C">
        <w:rPr>
          <w:i/>
          <w:iCs/>
        </w:rPr>
        <w:t>teness</w:t>
      </w:r>
      <w:r w:rsidR="00BA722C">
        <w:rPr>
          <w:i/>
          <w:iCs/>
        </w:rPr>
        <w:t xml:space="preserve"> and relevance</w:t>
      </w:r>
      <w:r w:rsidR="00993C1C">
        <w:rPr>
          <w:i/>
          <w:iCs/>
        </w:rPr>
        <w:t>.</w:t>
      </w:r>
      <w:r w:rsidR="00A700E0" w:rsidRPr="00CB3E86">
        <w:rPr>
          <w:i/>
          <w:iCs/>
        </w:rPr>
        <w:t xml:space="preserve"> </w:t>
      </w:r>
      <w:r w:rsidR="00A6023B">
        <w:t xml:space="preserve">In the course of </w:t>
      </w:r>
      <w:r w:rsidR="00EF0A2A">
        <w:t>the</w:t>
      </w:r>
      <w:r w:rsidR="00993C1C">
        <w:t xml:space="preserve"> </w:t>
      </w:r>
      <w:r w:rsidR="00C146EF">
        <w:t xml:space="preserve">data collection </w:t>
      </w:r>
      <w:r w:rsidR="00993C1C">
        <w:t>interviews</w:t>
      </w:r>
      <w:r w:rsidR="00141901">
        <w:t xml:space="preserve">, </w:t>
      </w:r>
      <w:r w:rsidR="00EF0A2A">
        <w:t xml:space="preserve">the </w:t>
      </w:r>
      <w:r w:rsidR="00DB22D1">
        <w:t xml:space="preserve">WMO </w:t>
      </w:r>
      <w:r w:rsidR="00EF0A2A">
        <w:t xml:space="preserve">Secretariat </w:t>
      </w:r>
      <w:r w:rsidR="00DB22D1">
        <w:t>is able to clarify questions</w:t>
      </w:r>
      <w:r w:rsidR="00893099">
        <w:t>, explain</w:t>
      </w:r>
      <w:r w:rsidR="005D65CE">
        <w:t xml:space="preserve"> terminology</w:t>
      </w:r>
      <w:r w:rsidR="00D45244">
        <w:t xml:space="preserve">, </w:t>
      </w:r>
      <w:r w:rsidR="004E5197">
        <w:t xml:space="preserve">apply </w:t>
      </w:r>
      <w:r w:rsidR="00EF0A2A">
        <w:t>common benchmarking</w:t>
      </w:r>
      <w:r w:rsidR="001B6D15">
        <w:t xml:space="preserve">, </w:t>
      </w:r>
      <w:r w:rsidR="00FF196F">
        <w:t xml:space="preserve">minimize </w:t>
      </w:r>
      <w:r w:rsidR="00C006C5">
        <w:t xml:space="preserve">any </w:t>
      </w:r>
      <w:r w:rsidR="00FF196F">
        <w:t xml:space="preserve">incorrect </w:t>
      </w:r>
      <w:r w:rsidR="004F4F0A">
        <w:t>data</w:t>
      </w:r>
      <w:r w:rsidR="00C006C5">
        <w:t xml:space="preserve"> </w:t>
      </w:r>
      <w:r w:rsidR="004F4F0A">
        <w:t>feed</w:t>
      </w:r>
      <w:r w:rsidR="00DD67E2">
        <w:t>, and avoid</w:t>
      </w:r>
      <w:r w:rsidR="00C006C5">
        <w:t xml:space="preserve"> </w:t>
      </w:r>
      <w:r w:rsidR="00A6023B">
        <w:t xml:space="preserve">any </w:t>
      </w:r>
      <w:r w:rsidR="004F4F0A">
        <w:t xml:space="preserve">missing values. </w:t>
      </w:r>
      <w:r w:rsidR="00A6023B">
        <w:t>D</w:t>
      </w:r>
      <w:r w:rsidR="00CB3E86">
        <w:t xml:space="preserve">ata that is not </w:t>
      </w:r>
      <w:r w:rsidR="0040409C">
        <w:t xml:space="preserve">readily available </w:t>
      </w:r>
      <w:r w:rsidR="00770D3C">
        <w:t xml:space="preserve">or requires verification </w:t>
      </w:r>
      <w:r w:rsidR="0040409C">
        <w:t xml:space="preserve">is </w:t>
      </w:r>
      <w:r w:rsidR="00A65E14">
        <w:t>provided by the NMHS</w:t>
      </w:r>
      <w:r w:rsidR="00770D3C">
        <w:t xml:space="preserve"> </w:t>
      </w:r>
      <w:r w:rsidR="00A65E14">
        <w:t xml:space="preserve">at a later </w:t>
      </w:r>
      <w:r w:rsidR="00CB3E86">
        <w:t>point</w:t>
      </w:r>
      <w:r w:rsidR="00181360">
        <w:t xml:space="preserve">. </w:t>
      </w:r>
      <w:r w:rsidR="00C428E5" w:rsidRPr="00350018">
        <w:t xml:space="preserve">Though more time-consuming and labour-intensive than a survey, the interview approach is believed to increase the reliability and validity of the data. </w:t>
      </w:r>
    </w:p>
    <w:p w14:paraId="7D22F510" w14:textId="77777777" w:rsidR="007F46D9" w:rsidRPr="007F46D9" w:rsidRDefault="007F46D9" w:rsidP="002E2963">
      <w:pPr>
        <w:pStyle w:val="ListParagraph"/>
        <w:tabs>
          <w:tab w:val="clear" w:pos="1134"/>
        </w:tabs>
        <w:ind w:left="567" w:hanging="567"/>
        <w:rPr>
          <w:i/>
          <w:iCs/>
        </w:rPr>
      </w:pPr>
    </w:p>
    <w:p w14:paraId="232A9593" w14:textId="7868BB4E" w:rsidR="00836B92" w:rsidRPr="00836B92" w:rsidRDefault="00836B92" w:rsidP="002E2963">
      <w:pPr>
        <w:pStyle w:val="ListParagraph"/>
        <w:numPr>
          <w:ilvl w:val="0"/>
          <w:numId w:val="3"/>
        </w:numPr>
        <w:tabs>
          <w:tab w:val="clear" w:pos="1134"/>
        </w:tabs>
        <w:ind w:left="567" w:hanging="567"/>
        <w:jc w:val="left"/>
      </w:pPr>
      <w:r>
        <w:rPr>
          <w:i/>
          <w:iCs/>
        </w:rPr>
        <w:t xml:space="preserve">Data verification. </w:t>
      </w:r>
      <w:r w:rsidR="000D2C40">
        <w:t xml:space="preserve">Once the dataset is complete, </w:t>
      </w:r>
      <w:r w:rsidR="00CF05B5">
        <w:t xml:space="preserve">it is </w:t>
      </w:r>
      <w:r w:rsidR="00D318AD">
        <w:t>shared</w:t>
      </w:r>
      <w:r w:rsidR="00CF05B5">
        <w:t xml:space="preserve"> </w:t>
      </w:r>
      <w:r w:rsidR="00387921">
        <w:t>with</w:t>
      </w:r>
      <w:r w:rsidR="00CF05B5">
        <w:t xml:space="preserve"> the WMO Regional Offices and/or project managers working with the respective country </w:t>
      </w:r>
      <w:r w:rsidR="00327455">
        <w:t xml:space="preserve">to alert of any potential inconsistencies or inaccuracies. </w:t>
      </w:r>
    </w:p>
    <w:p w14:paraId="33B8F8E0" w14:textId="77777777" w:rsidR="00836B92" w:rsidRDefault="00836B92" w:rsidP="002E2963">
      <w:pPr>
        <w:pStyle w:val="ListParagraph"/>
        <w:tabs>
          <w:tab w:val="clear" w:pos="1134"/>
        </w:tabs>
        <w:ind w:left="567" w:hanging="567"/>
      </w:pPr>
    </w:p>
    <w:p w14:paraId="750425A6" w14:textId="0066C6E2" w:rsidR="00DF0BF7" w:rsidRPr="00350018" w:rsidRDefault="00836B92" w:rsidP="002E2963">
      <w:pPr>
        <w:pStyle w:val="ListParagraph"/>
        <w:numPr>
          <w:ilvl w:val="0"/>
          <w:numId w:val="3"/>
        </w:numPr>
        <w:tabs>
          <w:tab w:val="clear" w:pos="1134"/>
        </w:tabs>
        <w:ind w:left="567" w:hanging="567"/>
        <w:jc w:val="left"/>
      </w:pPr>
      <w:r>
        <w:rPr>
          <w:i/>
          <w:iCs/>
        </w:rPr>
        <w:t>Data validation.</w:t>
      </w:r>
      <w:r w:rsidR="00D318AD">
        <w:rPr>
          <w:i/>
          <w:iCs/>
        </w:rPr>
        <w:t xml:space="preserve"> </w:t>
      </w:r>
      <w:r w:rsidR="00D318AD">
        <w:t>As a last step, the data is provided to the peer advisors conducing CHD</w:t>
      </w:r>
      <w:r w:rsidR="00F55944">
        <w:t>s as part of the SOFF Readiness Phase</w:t>
      </w:r>
      <w:r w:rsidR="00387921">
        <w:t>.</w:t>
      </w:r>
      <w:r w:rsidR="00F55944">
        <w:rPr>
          <w:rStyle w:val="FootnoteReference"/>
        </w:rPr>
        <w:footnoteReference w:id="6"/>
      </w:r>
      <w:r w:rsidR="00F55944">
        <w:t xml:space="preserve"> </w:t>
      </w:r>
      <w:r w:rsidR="00387921">
        <w:t xml:space="preserve">They </w:t>
      </w:r>
      <w:r w:rsidR="00B93A1F">
        <w:t xml:space="preserve">validate </w:t>
      </w:r>
      <w:r w:rsidR="00387921">
        <w:t xml:space="preserve">the </w:t>
      </w:r>
      <w:r w:rsidR="00B93A1F">
        <w:t xml:space="preserve">accuracy </w:t>
      </w:r>
      <w:r w:rsidR="00387921">
        <w:t xml:space="preserve">of the data </w:t>
      </w:r>
      <w:r w:rsidR="00E11197">
        <w:t xml:space="preserve">during </w:t>
      </w:r>
      <w:r w:rsidR="00B93A1F">
        <w:t>in-situ visits and interviews</w:t>
      </w:r>
      <w:r w:rsidR="002F6D4B">
        <w:t xml:space="preserve">, thus contributing to the quality and reliability of the </w:t>
      </w:r>
      <w:r w:rsidR="00E11197">
        <w:t xml:space="preserve">WMO Monitoring System. </w:t>
      </w:r>
      <w:r w:rsidR="00337964">
        <w:t>Adjustments to a country</w:t>
      </w:r>
      <w:r w:rsidR="00132FF7">
        <w:t>’s</w:t>
      </w:r>
      <w:r w:rsidR="00337964">
        <w:t xml:space="preserve"> scorecard </w:t>
      </w:r>
      <w:r w:rsidR="00E833E9">
        <w:t xml:space="preserve">are possible </w:t>
      </w:r>
      <w:r w:rsidR="00337964">
        <w:t xml:space="preserve">based on </w:t>
      </w:r>
      <w:r w:rsidR="00BE155D">
        <w:t xml:space="preserve">this </w:t>
      </w:r>
      <w:r w:rsidR="00337964">
        <w:t>final validation</w:t>
      </w:r>
      <w:r w:rsidR="00BE155D">
        <w:t xml:space="preserve"> step of the process</w:t>
      </w:r>
      <w:r w:rsidR="000A6FBC">
        <w:t xml:space="preserve">. </w:t>
      </w:r>
    </w:p>
    <w:p w14:paraId="749FDF0B" w14:textId="77777777" w:rsidR="00952347" w:rsidRDefault="00952347" w:rsidP="00952347">
      <w:pPr>
        <w:contextualSpacing/>
      </w:pPr>
    </w:p>
    <w:p w14:paraId="51F747A1" w14:textId="7587F2B3" w:rsidR="008C4030" w:rsidRDefault="008C4030" w:rsidP="00884776">
      <w:pPr>
        <w:keepNext/>
        <w:outlineLvl w:val="0"/>
        <w:rPr>
          <w:b/>
          <w:bCs/>
        </w:rPr>
      </w:pPr>
      <w:r>
        <w:rPr>
          <w:b/>
          <w:bCs/>
        </w:rPr>
        <w:t>Implementation</w:t>
      </w:r>
      <w:r w:rsidR="0001375F">
        <w:rPr>
          <w:b/>
          <w:bCs/>
        </w:rPr>
        <w:t xml:space="preserve"> Status</w:t>
      </w:r>
    </w:p>
    <w:p w14:paraId="6674781B" w14:textId="77777777" w:rsidR="008C4030" w:rsidRDefault="008C4030" w:rsidP="00884776">
      <w:pPr>
        <w:keepNext/>
        <w:outlineLvl w:val="0"/>
        <w:rPr>
          <w:b/>
          <w:bCs/>
        </w:rPr>
      </w:pPr>
    </w:p>
    <w:p w14:paraId="73FB8828" w14:textId="7AB050AF" w:rsidR="003E0564" w:rsidRDefault="008C4030" w:rsidP="000F1C39">
      <w:pPr>
        <w:pStyle w:val="ListParagraph"/>
        <w:numPr>
          <w:ilvl w:val="0"/>
          <w:numId w:val="1"/>
        </w:numPr>
        <w:ind w:left="0" w:firstLine="0"/>
        <w:jc w:val="left"/>
      </w:pPr>
      <w:r w:rsidRPr="008C4030">
        <w:t>Since June 2023, the Rapid Assessment has been applied to 4</w:t>
      </w:r>
      <w:r w:rsidR="00CF7BE2">
        <w:t>1</w:t>
      </w:r>
      <w:r w:rsidRPr="008C4030">
        <w:t xml:space="preserve"> Members</w:t>
      </w:r>
      <w:r w:rsidR="00284C95">
        <w:t>, including</w:t>
      </w:r>
      <w:r w:rsidR="00EE20E9">
        <w:t xml:space="preserve"> the </w:t>
      </w:r>
      <w:r w:rsidRPr="008C4030">
        <w:t xml:space="preserve">30 initial </w:t>
      </w:r>
      <w:r w:rsidR="00EE20E9">
        <w:t xml:space="preserve">EW4All </w:t>
      </w:r>
      <w:r w:rsidRPr="008C4030">
        <w:t>focus countries</w:t>
      </w:r>
      <w:r w:rsidR="00284C95">
        <w:t>,</w:t>
      </w:r>
      <w:r w:rsidR="00F56A86">
        <w:rPr>
          <w:rStyle w:val="FootnoteReference"/>
        </w:rPr>
        <w:footnoteReference w:id="7"/>
      </w:r>
      <w:r w:rsidR="00A83FED">
        <w:t xml:space="preserve"> </w:t>
      </w:r>
      <w:r w:rsidR="00F56A86">
        <w:t>eight</w:t>
      </w:r>
      <w:r w:rsidR="00A83FED">
        <w:t xml:space="preserve"> </w:t>
      </w:r>
      <w:r w:rsidR="00B667B8">
        <w:t>Members from R</w:t>
      </w:r>
      <w:r w:rsidR="00D84A51">
        <w:t>A</w:t>
      </w:r>
      <w:r w:rsidR="00B667B8">
        <w:t xml:space="preserve"> VI</w:t>
      </w:r>
      <w:r w:rsidR="00D84A51">
        <w:rPr>
          <w:rStyle w:val="FootnoteReference"/>
        </w:rPr>
        <w:footnoteReference w:id="8"/>
      </w:r>
      <w:r w:rsidR="00B667B8">
        <w:t xml:space="preserve"> </w:t>
      </w:r>
      <w:r w:rsidR="00D63FC9">
        <w:t>(</w:t>
      </w:r>
      <w:r w:rsidR="00A83FED">
        <w:t xml:space="preserve">based on a request from the </w:t>
      </w:r>
      <w:r w:rsidR="00B667B8">
        <w:lastRenderedPageBreak/>
        <w:t>Management Group</w:t>
      </w:r>
      <w:r w:rsidR="00D84A51">
        <w:t>)</w:t>
      </w:r>
      <w:r w:rsidR="00284C95">
        <w:t>,</w:t>
      </w:r>
      <w:r w:rsidR="00B667B8">
        <w:t xml:space="preserve"> and </w:t>
      </w:r>
      <w:r w:rsidR="00121354">
        <w:t>t</w:t>
      </w:r>
      <w:r w:rsidR="00CF7BE2">
        <w:t>hree</w:t>
      </w:r>
      <w:r w:rsidR="00121354">
        <w:t xml:space="preserve"> more</w:t>
      </w:r>
      <w:r w:rsidR="008035B5">
        <w:t xml:space="preserve"> </w:t>
      </w:r>
      <w:r w:rsidR="007B58B0">
        <w:t>Members</w:t>
      </w:r>
      <w:r w:rsidRPr="008C4030">
        <w:t>.</w:t>
      </w:r>
      <w:r w:rsidR="007B58B0">
        <w:rPr>
          <w:rStyle w:val="FootnoteReference"/>
        </w:rPr>
        <w:footnoteReference w:id="9"/>
      </w:r>
      <w:r w:rsidRPr="008C4030">
        <w:t xml:space="preserve"> </w:t>
      </w:r>
      <w:r w:rsidR="003E0564">
        <w:t xml:space="preserve">The data from seven more </w:t>
      </w:r>
      <w:r w:rsidR="00D84A51">
        <w:t xml:space="preserve">countries </w:t>
      </w:r>
      <w:r w:rsidR="003E0564">
        <w:t>is undergoing analysis.</w:t>
      </w:r>
      <w:r w:rsidR="003E0564">
        <w:rPr>
          <w:rStyle w:val="FootnoteReference"/>
        </w:rPr>
        <w:footnoteReference w:id="10"/>
      </w:r>
    </w:p>
    <w:p w14:paraId="7D2D9D1C" w14:textId="77777777" w:rsidR="003E0564" w:rsidRDefault="003E0564" w:rsidP="003E0564">
      <w:pPr>
        <w:pStyle w:val="ListParagraph"/>
        <w:ind w:left="0"/>
        <w:jc w:val="left"/>
      </w:pPr>
    </w:p>
    <w:p w14:paraId="1EAB1D5D" w14:textId="6F4F4C56" w:rsidR="008C4030" w:rsidRDefault="0068541D" w:rsidP="000F1C39">
      <w:pPr>
        <w:pStyle w:val="ListParagraph"/>
        <w:numPr>
          <w:ilvl w:val="0"/>
          <w:numId w:val="1"/>
        </w:numPr>
        <w:ind w:left="0" w:firstLine="0"/>
        <w:jc w:val="left"/>
      </w:pPr>
      <w:r>
        <w:t xml:space="preserve">Presented </w:t>
      </w:r>
      <w:r w:rsidR="00CC71B0">
        <w:t xml:space="preserve">as the </w:t>
      </w:r>
      <w:r>
        <w:t xml:space="preserve">at-a-glance scorecards illustrated in Figure 2, the </w:t>
      </w:r>
      <w:r w:rsidR="00690F53">
        <w:t xml:space="preserve">Rapid Assessment </w:t>
      </w:r>
      <w:r w:rsidR="00C35874">
        <w:t xml:space="preserve">results </w:t>
      </w:r>
      <w:r w:rsidR="008C4030" w:rsidRPr="008C4030">
        <w:t xml:space="preserve">provide substantive analysis </w:t>
      </w:r>
      <w:r w:rsidR="003E0564">
        <w:t xml:space="preserve">that </w:t>
      </w:r>
      <w:r w:rsidR="008C4030" w:rsidRPr="008C4030">
        <w:t xml:space="preserve">is </w:t>
      </w:r>
      <w:r w:rsidR="00690F53">
        <w:t xml:space="preserve">being </w:t>
      </w:r>
      <w:r w:rsidR="008C4030" w:rsidRPr="008C4030">
        <w:t xml:space="preserve">used in the creation of </w:t>
      </w:r>
      <w:r w:rsidR="002C50E5">
        <w:t xml:space="preserve">the </w:t>
      </w:r>
      <w:r w:rsidR="008C4030" w:rsidRPr="008C4030">
        <w:t xml:space="preserve">national Early Warnings for All roadmaps. </w:t>
      </w:r>
      <w:r w:rsidR="00C35874">
        <w:t>The</w:t>
      </w:r>
      <w:r w:rsidR="00DD53FD">
        <w:t xml:space="preserve"> results</w:t>
      </w:r>
      <w:r w:rsidR="00C35874">
        <w:t xml:space="preserve"> are </w:t>
      </w:r>
      <w:r w:rsidR="008C4030" w:rsidRPr="008C4030">
        <w:t xml:space="preserve">also provided to </w:t>
      </w:r>
      <w:r w:rsidR="00F45360">
        <w:t xml:space="preserve">the EW4All </w:t>
      </w:r>
      <w:r w:rsidR="008C4030" w:rsidRPr="008C4030">
        <w:t>partners and funding institutions for consideration in their investment decisions.</w:t>
      </w:r>
      <w:r w:rsidR="006F1963">
        <w:t xml:space="preserve"> </w:t>
      </w:r>
    </w:p>
    <w:p w14:paraId="0A86A75B" w14:textId="77777777" w:rsidR="00E971C2" w:rsidRDefault="00E971C2" w:rsidP="00E971C2">
      <w:pPr>
        <w:pStyle w:val="ListParagraph"/>
      </w:pPr>
    </w:p>
    <w:p w14:paraId="784A7037" w14:textId="486B2856" w:rsidR="00884776" w:rsidRPr="00DF0BF7" w:rsidRDefault="00884776" w:rsidP="00884776">
      <w:pPr>
        <w:keepNext/>
        <w:outlineLvl w:val="0"/>
        <w:rPr>
          <w:b/>
          <w:bCs/>
        </w:rPr>
      </w:pPr>
      <w:r w:rsidRPr="00DF0BF7">
        <w:rPr>
          <w:b/>
          <w:bCs/>
        </w:rPr>
        <w:t>Results</w:t>
      </w:r>
    </w:p>
    <w:p w14:paraId="5ABFEAA9" w14:textId="77777777" w:rsidR="00884776" w:rsidRDefault="00884776" w:rsidP="00884776">
      <w:pPr>
        <w:contextualSpacing/>
        <w:jc w:val="left"/>
      </w:pPr>
    </w:p>
    <w:p w14:paraId="22105075" w14:textId="1B02C0F1" w:rsidR="005F7822" w:rsidRDefault="005F7822" w:rsidP="000F1C39">
      <w:pPr>
        <w:numPr>
          <w:ilvl w:val="0"/>
          <w:numId w:val="1"/>
        </w:numPr>
        <w:ind w:left="0" w:firstLine="0"/>
        <w:contextualSpacing/>
        <w:jc w:val="left"/>
      </w:pPr>
      <w:r>
        <w:t xml:space="preserve">Figure </w:t>
      </w:r>
      <w:r w:rsidR="00D861C9">
        <w:t>3</w:t>
      </w:r>
      <w:r>
        <w:t xml:space="preserve"> </w:t>
      </w:r>
      <w:r w:rsidRPr="005F7822">
        <w:t>presents the aggregate results of the Rapid Assessment, which show that almost a quarter of the 30 countries operate with less than basic monitoring and forecasting capacity for their priority hazards, while over half rely on basic monitoring and forecasting to support their early warning systems.</w:t>
      </w:r>
      <w:r w:rsidR="00CA3888">
        <w:t xml:space="preserve"> </w:t>
      </w:r>
      <w:r w:rsidRPr="005F7822">
        <w:t xml:space="preserve"> </w:t>
      </w:r>
    </w:p>
    <w:p w14:paraId="4EB04D77" w14:textId="77777777" w:rsidR="00225EF9" w:rsidRDefault="00225EF9" w:rsidP="00225EF9">
      <w:pPr>
        <w:contextualSpacing/>
        <w:jc w:val="left"/>
      </w:pPr>
    </w:p>
    <w:p w14:paraId="66D95331" w14:textId="3A5976E9" w:rsidR="00225EF9" w:rsidRDefault="00225EF9" w:rsidP="00225EF9">
      <w:pPr>
        <w:contextualSpacing/>
        <w:jc w:val="center"/>
      </w:pPr>
      <w:r>
        <w:rPr>
          <w:noProof/>
        </w:rPr>
        <w:drawing>
          <wp:inline distT="0" distB="0" distL="0" distR="0" wp14:anchorId="10C41BA6" wp14:editId="4E657AC2">
            <wp:extent cx="5702300" cy="2533650"/>
            <wp:effectExtent l="0" t="0" r="12700" b="0"/>
            <wp:docPr id="2" name="Chart 2">
              <a:extLst xmlns:a="http://schemas.openxmlformats.org/drawingml/2006/main">
                <a:ext uri="{FF2B5EF4-FFF2-40B4-BE49-F238E27FC236}">
                  <a16:creationId xmlns:a16="http://schemas.microsoft.com/office/drawing/2014/main" id="{768879DE-9DCF-C546-625A-6A8552384C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7E049F" w14:textId="77777777" w:rsidR="00CA3888" w:rsidRDefault="00CA3888" w:rsidP="00CA3888">
      <w:pPr>
        <w:contextualSpacing/>
        <w:jc w:val="left"/>
      </w:pPr>
    </w:p>
    <w:p w14:paraId="7D9C08C6" w14:textId="679EA246" w:rsidR="00D861C9" w:rsidRPr="005C3F93" w:rsidRDefault="00D861C9" w:rsidP="00D861C9">
      <w:pPr>
        <w:spacing w:before="120"/>
        <w:contextualSpacing/>
        <w:jc w:val="center"/>
        <w:rPr>
          <w:i/>
          <w:iCs/>
        </w:rPr>
      </w:pPr>
      <w:r w:rsidRPr="005C3F93">
        <w:rPr>
          <w:i/>
          <w:iCs/>
        </w:rPr>
        <w:t xml:space="preserve">Figure 3: </w:t>
      </w:r>
      <w:r w:rsidR="00077536" w:rsidRPr="005C3F93">
        <w:rPr>
          <w:i/>
          <w:iCs/>
          <w:color w:val="000000" w:themeColor="text1"/>
        </w:rPr>
        <w:t xml:space="preserve">Pillar 2 capacity levels, 30 </w:t>
      </w:r>
      <w:r w:rsidR="0080215C" w:rsidRPr="005C3F93">
        <w:rPr>
          <w:i/>
          <w:iCs/>
          <w:color w:val="000000" w:themeColor="text1"/>
        </w:rPr>
        <w:t xml:space="preserve">initial </w:t>
      </w:r>
      <w:r w:rsidR="00077536" w:rsidRPr="005C3F93">
        <w:rPr>
          <w:i/>
          <w:iCs/>
          <w:color w:val="000000" w:themeColor="text1"/>
        </w:rPr>
        <w:t xml:space="preserve">countries </w:t>
      </w:r>
      <w:r w:rsidR="007B118E" w:rsidRPr="005C3F93">
        <w:rPr>
          <w:i/>
          <w:iCs/>
          <w:color w:val="000000" w:themeColor="text1"/>
        </w:rPr>
        <w:t>selected for EW4All</w:t>
      </w:r>
      <w:r w:rsidR="005C3F93">
        <w:rPr>
          <w:i/>
          <w:iCs/>
          <w:color w:val="000000" w:themeColor="text1"/>
        </w:rPr>
        <w:br/>
      </w:r>
      <w:r w:rsidR="007B118E" w:rsidRPr="005C3F93">
        <w:rPr>
          <w:i/>
          <w:iCs/>
          <w:color w:val="000000" w:themeColor="text1"/>
        </w:rPr>
        <w:t xml:space="preserve"> coordinated assistance </w:t>
      </w:r>
      <w:r w:rsidR="00077536" w:rsidRPr="005C3F93">
        <w:rPr>
          <w:i/>
          <w:iCs/>
          <w:color w:val="000000" w:themeColor="text1"/>
        </w:rPr>
        <w:t>(WMO, 2023)</w:t>
      </w:r>
    </w:p>
    <w:p w14:paraId="5F0929F8" w14:textId="77777777" w:rsidR="00D861C9" w:rsidRDefault="00D861C9" w:rsidP="00CA3888">
      <w:pPr>
        <w:contextualSpacing/>
        <w:jc w:val="left"/>
      </w:pPr>
    </w:p>
    <w:p w14:paraId="659E33CA" w14:textId="3A9A7AAF" w:rsidR="00CA3888" w:rsidRDefault="00CA3888" w:rsidP="000F1C39">
      <w:pPr>
        <w:numPr>
          <w:ilvl w:val="0"/>
          <w:numId w:val="1"/>
        </w:numPr>
        <w:ind w:left="0" w:firstLine="0"/>
        <w:contextualSpacing/>
        <w:jc w:val="left"/>
      </w:pPr>
      <w:r>
        <w:t xml:space="preserve">Impact-based forecasting is the area with the biggest deficiencies in </w:t>
      </w:r>
      <w:r w:rsidRPr="00350018">
        <w:t xml:space="preserve">human resources, training, technical solutions and </w:t>
      </w:r>
      <w:r>
        <w:t xml:space="preserve">access to </w:t>
      </w:r>
      <w:r w:rsidRPr="00350018">
        <w:t>vulnerability and impact</w:t>
      </w:r>
      <w:r>
        <w:t xml:space="preserve"> data</w:t>
      </w:r>
      <w:r w:rsidRPr="00350018">
        <w:t xml:space="preserve">. </w:t>
      </w:r>
      <w:r>
        <w:t>Hazard monitoring is another area where NMHS face considerable challenges, with basic to less</w:t>
      </w:r>
      <w:r w:rsidR="00CA72A1">
        <w:t xml:space="preserve"> </w:t>
      </w:r>
      <w:r>
        <w:t>than</w:t>
      </w:r>
      <w:r w:rsidR="00CA72A1">
        <w:t xml:space="preserve"> </w:t>
      </w:r>
      <w:r>
        <w:t>basic observations for certain priority hazards, lack of</w:t>
      </w:r>
      <w:r w:rsidRPr="00350018">
        <w:t xml:space="preserve"> automation of the infrastructure network, </w:t>
      </w:r>
      <w:r>
        <w:t xml:space="preserve">and inadequate </w:t>
      </w:r>
      <w:r w:rsidRPr="00F51FF3">
        <w:t>capacity to perform appropriate maintenance, calibration, and quality control of stations and instruments</w:t>
      </w:r>
      <w:r>
        <w:t>.</w:t>
      </w:r>
    </w:p>
    <w:p w14:paraId="701E7C31" w14:textId="77777777" w:rsidR="005F7822" w:rsidRDefault="005F7822" w:rsidP="005F7822">
      <w:pPr>
        <w:contextualSpacing/>
        <w:jc w:val="left"/>
      </w:pPr>
    </w:p>
    <w:p w14:paraId="7504EC39" w14:textId="77777777" w:rsidR="009A1DAE" w:rsidRDefault="00117A5A" w:rsidP="000F1C39">
      <w:pPr>
        <w:numPr>
          <w:ilvl w:val="0"/>
          <w:numId w:val="1"/>
        </w:numPr>
        <w:ind w:left="0" w:firstLine="0"/>
        <w:contextualSpacing/>
        <w:jc w:val="left"/>
      </w:pPr>
      <w:r>
        <w:t xml:space="preserve">The </w:t>
      </w:r>
      <w:r w:rsidR="00CA3888">
        <w:t xml:space="preserve">full </w:t>
      </w:r>
      <w:r w:rsidR="00301623">
        <w:t xml:space="preserve">aggregate </w:t>
      </w:r>
      <w:r w:rsidR="000E7C32">
        <w:t xml:space="preserve">results are </w:t>
      </w:r>
      <w:r w:rsidR="00954BD9">
        <w:t xml:space="preserve">available </w:t>
      </w:r>
      <w:r>
        <w:t xml:space="preserve">in </w:t>
      </w:r>
      <w:hyperlink r:id="rId15" w:history="1">
        <w:r w:rsidRPr="00804D54">
          <w:rPr>
            <w:rStyle w:val="Hyperlink"/>
          </w:rPr>
          <w:t>Early Warnings for All in Focus: Hazard Monitoring and Forecasting</w:t>
        </w:r>
      </w:hyperlink>
      <w:r>
        <w:t xml:space="preserve">, </w:t>
      </w:r>
      <w:r w:rsidR="00142F66">
        <w:t xml:space="preserve">an analytical brief </w:t>
      </w:r>
      <w:r w:rsidR="00D71123">
        <w:t xml:space="preserve">which </w:t>
      </w:r>
      <w:r w:rsidR="00D704FA">
        <w:t>summariz</w:t>
      </w:r>
      <w:r w:rsidR="00D71123">
        <w:t>es</w:t>
      </w:r>
      <w:r w:rsidR="00D704FA">
        <w:t xml:space="preserve"> the </w:t>
      </w:r>
      <w:r w:rsidR="00864CC5">
        <w:t xml:space="preserve">Rapid Assessment outcomes </w:t>
      </w:r>
      <w:r w:rsidR="001069DF">
        <w:t xml:space="preserve">and </w:t>
      </w:r>
      <w:r w:rsidR="00D71123">
        <w:t xml:space="preserve">draws attention to </w:t>
      </w:r>
      <w:r w:rsidR="001069DF">
        <w:t xml:space="preserve">important gaps </w:t>
      </w:r>
      <w:r w:rsidR="00301623">
        <w:t>and</w:t>
      </w:r>
      <w:r w:rsidR="001069DF">
        <w:t xml:space="preserve"> trends</w:t>
      </w:r>
      <w:r w:rsidR="00647538">
        <w:t>.</w:t>
      </w:r>
      <w:r>
        <w:t xml:space="preserve"> </w:t>
      </w:r>
    </w:p>
    <w:p w14:paraId="58E74C01" w14:textId="77777777" w:rsidR="009A1DAE" w:rsidRDefault="009A1DAE" w:rsidP="009A1DAE">
      <w:pPr>
        <w:pStyle w:val="ListParagraph"/>
      </w:pPr>
    </w:p>
    <w:p w14:paraId="6B867A87" w14:textId="544BA4FA" w:rsidR="007226BE" w:rsidRPr="001B1236" w:rsidRDefault="006057F7" w:rsidP="000F1C39">
      <w:pPr>
        <w:numPr>
          <w:ilvl w:val="0"/>
          <w:numId w:val="1"/>
        </w:numPr>
        <w:ind w:left="0" w:firstLine="0"/>
        <w:contextualSpacing/>
        <w:jc w:val="left"/>
      </w:pPr>
      <w:r>
        <w:t xml:space="preserve">The </w:t>
      </w:r>
      <w:r w:rsidR="007226BE">
        <w:t xml:space="preserve">country analysis and underlying data are available on the </w:t>
      </w:r>
      <w:hyperlink r:id="rId16" w:history="1">
        <w:r w:rsidR="007226BE" w:rsidRPr="0002193C">
          <w:rPr>
            <w:rStyle w:val="Hyperlink"/>
          </w:rPr>
          <w:t>Early Warnings for All Dashboard</w:t>
        </w:r>
      </w:hyperlink>
      <w:r w:rsidR="00663EF7">
        <w:rPr>
          <w:rStyle w:val="Hyperlink"/>
        </w:rPr>
        <w:t xml:space="preserve">, </w:t>
      </w:r>
      <w:r w:rsidR="00663EF7">
        <w:t xml:space="preserve">the </w:t>
      </w:r>
      <w:r w:rsidR="007226BE">
        <w:t>centralized data portal of the Initiative</w:t>
      </w:r>
      <w:r w:rsidR="00E02FB1">
        <w:t xml:space="preserve"> (see MHEWS Country Capacity)</w:t>
      </w:r>
      <w:r w:rsidR="007226BE">
        <w:t>.</w:t>
      </w:r>
      <w:r w:rsidR="005B49C6">
        <w:t xml:space="preserve"> B</w:t>
      </w:r>
      <w:r w:rsidR="007226BE">
        <w:t xml:space="preserve">ringing together data from all partners, the dashboard </w:t>
      </w:r>
      <w:r w:rsidR="007226BE" w:rsidRPr="00F20BFC">
        <w:t xml:space="preserve">presents selected monitoring indicators structured along three categories: </w:t>
      </w:r>
    </w:p>
    <w:p w14:paraId="0F6DD027" w14:textId="77777777" w:rsidR="002B19FE" w:rsidRPr="001B1236" w:rsidRDefault="002B19FE" w:rsidP="002B19FE">
      <w:pPr>
        <w:pStyle w:val="ListParagraph"/>
      </w:pPr>
    </w:p>
    <w:p w14:paraId="2117877A" w14:textId="011BD082" w:rsidR="007226BE" w:rsidRPr="001B1236" w:rsidRDefault="002E2963" w:rsidP="001B1236">
      <w:pPr>
        <w:pStyle w:val="ListParagraph"/>
        <w:tabs>
          <w:tab w:val="clear" w:pos="1134"/>
        </w:tabs>
        <w:ind w:left="567" w:hanging="567"/>
        <w:jc w:val="left"/>
      </w:pPr>
      <w:r w:rsidRPr="001B1236">
        <w:lastRenderedPageBreak/>
        <w:t>(a)</w:t>
      </w:r>
      <w:r w:rsidRPr="001B1236">
        <w:tab/>
      </w:r>
      <w:r w:rsidR="007226BE" w:rsidRPr="001B1236">
        <w:t>Global indicators: metrics that capture the Initiative’s impact on the availability of end-to-end, people-centred multi-hazard early warning systems.</w:t>
      </w:r>
    </w:p>
    <w:p w14:paraId="1EB525AB" w14:textId="77777777" w:rsidR="007226BE" w:rsidRPr="001B1236" w:rsidRDefault="007226BE" w:rsidP="001B1236">
      <w:pPr>
        <w:pStyle w:val="ListParagraph"/>
        <w:ind w:left="567" w:hanging="567"/>
      </w:pPr>
    </w:p>
    <w:p w14:paraId="2672DC80" w14:textId="58ABE65A" w:rsidR="007226BE" w:rsidRPr="001B1236" w:rsidRDefault="002E2963" w:rsidP="001B1236">
      <w:pPr>
        <w:pStyle w:val="ListParagraph"/>
        <w:tabs>
          <w:tab w:val="clear" w:pos="1134"/>
        </w:tabs>
        <w:ind w:left="567" w:hanging="567"/>
        <w:jc w:val="left"/>
      </w:pPr>
      <w:r w:rsidRPr="001B1236">
        <w:t>(b)</w:t>
      </w:r>
      <w:r w:rsidRPr="001B1236">
        <w:tab/>
      </w:r>
      <w:r w:rsidR="007226BE" w:rsidRPr="001B1236">
        <w:t xml:space="preserve">Implementation indicators: metrics intended to measure implementation of the Initiative’s pillar implementation strategies as well as key elements of the enabling environment. </w:t>
      </w:r>
    </w:p>
    <w:p w14:paraId="1F81EA00" w14:textId="77777777" w:rsidR="007226BE" w:rsidRPr="001B1236" w:rsidRDefault="007226BE" w:rsidP="001B1236">
      <w:pPr>
        <w:pStyle w:val="ListParagraph"/>
        <w:ind w:left="567" w:hanging="567"/>
      </w:pPr>
    </w:p>
    <w:p w14:paraId="55FAD120" w14:textId="1099D398" w:rsidR="007226BE" w:rsidRPr="001B1236" w:rsidRDefault="001B1236" w:rsidP="001B1236">
      <w:pPr>
        <w:pStyle w:val="ListParagraph"/>
        <w:tabs>
          <w:tab w:val="clear" w:pos="1134"/>
        </w:tabs>
        <w:ind w:left="567" w:hanging="567"/>
        <w:jc w:val="left"/>
      </w:pPr>
      <w:r w:rsidRPr="001B1236">
        <w:t>(c)</w:t>
      </w:r>
      <w:r w:rsidRPr="001B1236">
        <w:tab/>
      </w:r>
      <w:r w:rsidR="007226BE" w:rsidRPr="001B1236">
        <w:t xml:space="preserve">Country capacity indicators: baseline data on the early warning capacity of the roll-out countries, </w:t>
      </w:r>
      <w:r w:rsidR="00F60552" w:rsidRPr="001B1236">
        <w:t>currently only available for Pillar 2</w:t>
      </w:r>
      <w:r w:rsidR="000C436B" w:rsidRPr="001B1236">
        <w:t xml:space="preserve"> based on the Rapid Assessment</w:t>
      </w:r>
      <w:r w:rsidR="007226BE" w:rsidRPr="001B1236">
        <w:t>.</w:t>
      </w:r>
    </w:p>
    <w:p w14:paraId="2A82D1EB" w14:textId="77777777" w:rsidR="00884776" w:rsidRPr="001B1236" w:rsidRDefault="00884776" w:rsidP="00884776">
      <w:pPr>
        <w:contextualSpacing/>
      </w:pPr>
    </w:p>
    <w:p w14:paraId="02CC625C" w14:textId="31799C40" w:rsidR="00CF36E0" w:rsidRPr="002B19FE" w:rsidRDefault="00CF36E0" w:rsidP="00884776">
      <w:pPr>
        <w:contextualSpacing/>
        <w:rPr>
          <w:b/>
          <w:bCs/>
        </w:rPr>
      </w:pPr>
      <w:r w:rsidRPr="002B19FE">
        <w:rPr>
          <w:b/>
          <w:bCs/>
        </w:rPr>
        <w:t>Limitations</w:t>
      </w:r>
    </w:p>
    <w:p w14:paraId="35F2E3A8" w14:textId="77777777" w:rsidR="00CF36E0" w:rsidRPr="007C6C3D" w:rsidRDefault="00CF36E0" w:rsidP="00884776">
      <w:pPr>
        <w:contextualSpacing/>
      </w:pPr>
    </w:p>
    <w:p w14:paraId="280AFBBA" w14:textId="6CDA3F71" w:rsidR="00CF36E0" w:rsidRDefault="00531FCB" w:rsidP="002B19FE">
      <w:pPr>
        <w:numPr>
          <w:ilvl w:val="0"/>
          <w:numId w:val="1"/>
        </w:numPr>
        <w:ind w:left="0" w:firstLine="0"/>
        <w:contextualSpacing/>
        <w:jc w:val="left"/>
      </w:pPr>
      <w:r w:rsidRPr="007C6C3D">
        <w:t>T</w:t>
      </w:r>
      <w:r w:rsidR="00553A78" w:rsidRPr="007C6C3D">
        <w:t xml:space="preserve">he </w:t>
      </w:r>
      <w:r w:rsidR="00625484" w:rsidRPr="007C6C3D">
        <w:t xml:space="preserve">Rapid Assessment methodology has proven useful </w:t>
      </w:r>
      <w:r w:rsidR="00836FFC" w:rsidRPr="007C6C3D">
        <w:t xml:space="preserve">in informing the </w:t>
      </w:r>
      <w:r w:rsidR="00626575" w:rsidRPr="007C6C3D">
        <w:t xml:space="preserve">planning stage of the </w:t>
      </w:r>
      <w:r w:rsidR="00836FFC" w:rsidRPr="007C6C3D">
        <w:t>EW4All Initiative</w:t>
      </w:r>
      <w:r w:rsidR="007559CE" w:rsidRPr="007C6C3D">
        <w:t xml:space="preserve"> and </w:t>
      </w:r>
      <w:r w:rsidR="001A23F8" w:rsidRPr="007C6C3D">
        <w:t xml:space="preserve">in </w:t>
      </w:r>
      <w:r w:rsidR="007559CE" w:rsidRPr="007C6C3D">
        <w:t>establishing a baseline on country capacity</w:t>
      </w:r>
      <w:r w:rsidR="00FD48CD" w:rsidRPr="007C6C3D">
        <w:t>.</w:t>
      </w:r>
      <w:r w:rsidR="000561DF" w:rsidRPr="007C6C3D">
        <w:t xml:space="preserve"> </w:t>
      </w:r>
      <w:r w:rsidR="00FD48CD" w:rsidRPr="007C6C3D">
        <w:t>Its broader</w:t>
      </w:r>
      <w:r w:rsidR="00F65009" w:rsidRPr="007C6C3D">
        <w:t xml:space="preserve"> application </w:t>
      </w:r>
      <w:r w:rsidR="0031571D" w:rsidRPr="007C6C3D">
        <w:t xml:space="preserve">and </w:t>
      </w:r>
      <w:r w:rsidR="00A6338B" w:rsidRPr="007C6C3D">
        <w:t xml:space="preserve">upscaling </w:t>
      </w:r>
      <w:r w:rsidR="005C5AE5" w:rsidRPr="007C6C3D">
        <w:t xml:space="preserve">could </w:t>
      </w:r>
      <w:r w:rsidR="002B19FE">
        <w:t xml:space="preserve">potentially </w:t>
      </w:r>
      <w:r w:rsidR="00AA476F" w:rsidRPr="007C6C3D">
        <w:t xml:space="preserve">be </w:t>
      </w:r>
      <w:r w:rsidR="00303FDF" w:rsidRPr="007C6C3D">
        <w:t xml:space="preserve">slowed down by </w:t>
      </w:r>
      <w:r w:rsidR="00910057" w:rsidRPr="007C6C3D">
        <w:t xml:space="preserve">lack of sufficient </w:t>
      </w:r>
      <w:r w:rsidR="00303FDF" w:rsidRPr="007C6C3D">
        <w:t xml:space="preserve">resources </w:t>
      </w:r>
      <w:r w:rsidR="00910057" w:rsidRPr="007C6C3D">
        <w:t xml:space="preserve">to </w:t>
      </w:r>
      <w:r w:rsidR="000001A8" w:rsidRPr="007C6C3D">
        <w:t xml:space="preserve">conduct </w:t>
      </w:r>
      <w:r w:rsidR="00B760E7">
        <w:t xml:space="preserve">the relatively </w:t>
      </w:r>
      <w:r w:rsidR="000001A8" w:rsidRPr="007C6C3D">
        <w:t>labour- and time</w:t>
      </w:r>
      <w:r w:rsidR="000001A8">
        <w:t>-intensive inte</w:t>
      </w:r>
      <w:r w:rsidR="00FD1EA4">
        <w:t xml:space="preserve">rviews and analysis. The data validation </w:t>
      </w:r>
      <w:r w:rsidR="008331BB">
        <w:t xml:space="preserve">could also be affected </w:t>
      </w:r>
      <w:r w:rsidR="00BE06BF">
        <w:t xml:space="preserve">by resource availability, given its dependency on </w:t>
      </w:r>
      <w:r w:rsidR="00FD1EA4">
        <w:t>the conduct of CHDs through SOFF</w:t>
      </w:r>
      <w:r w:rsidR="00C8354B">
        <w:t xml:space="preserve">. </w:t>
      </w:r>
    </w:p>
    <w:p w14:paraId="16E6801E" w14:textId="545304F4" w:rsidR="00CA72A1" w:rsidRDefault="00CA72A1">
      <w:pPr>
        <w:tabs>
          <w:tab w:val="clear" w:pos="1134"/>
        </w:tabs>
        <w:jc w:val="left"/>
        <w:rPr>
          <w:b/>
          <w:bCs/>
        </w:rPr>
      </w:pPr>
    </w:p>
    <w:p w14:paraId="08C7C047" w14:textId="6CBFD8A1" w:rsidR="001309C2" w:rsidRPr="00DF0BF7" w:rsidRDefault="001309C2" w:rsidP="001309C2">
      <w:pPr>
        <w:keepNext/>
        <w:outlineLvl w:val="0"/>
        <w:rPr>
          <w:b/>
          <w:bCs/>
        </w:rPr>
      </w:pPr>
      <w:r>
        <w:rPr>
          <w:b/>
          <w:bCs/>
        </w:rPr>
        <w:t>Next Steps</w:t>
      </w:r>
    </w:p>
    <w:p w14:paraId="72282C19" w14:textId="77777777" w:rsidR="001309C2" w:rsidRDefault="001309C2" w:rsidP="001309C2">
      <w:pPr>
        <w:contextualSpacing/>
        <w:jc w:val="left"/>
      </w:pPr>
    </w:p>
    <w:p w14:paraId="545ECF61" w14:textId="5676E6C3" w:rsidR="0042000D" w:rsidRPr="0042000D" w:rsidRDefault="0042000D" w:rsidP="000F1C39">
      <w:pPr>
        <w:pStyle w:val="ListParagraph"/>
        <w:numPr>
          <w:ilvl w:val="0"/>
          <w:numId w:val="1"/>
        </w:numPr>
        <w:ind w:left="0" w:firstLine="0"/>
        <w:jc w:val="left"/>
      </w:pPr>
      <w:r>
        <w:rPr>
          <w:i/>
          <w:iCs/>
        </w:rPr>
        <w:t xml:space="preserve">Transfer </w:t>
      </w:r>
      <w:r w:rsidR="00AB6CC5">
        <w:rPr>
          <w:i/>
          <w:iCs/>
        </w:rPr>
        <w:t xml:space="preserve">the </w:t>
      </w:r>
      <w:r>
        <w:rPr>
          <w:i/>
          <w:iCs/>
        </w:rPr>
        <w:t>know-how</w:t>
      </w:r>
      <w:r w:rsidR="00CB0E86">
        <w:rPr>
          <w:i/>
          <w:iCs/>
        </w:rPr>
        <w:t xml:space="preserve"> to the Regional Offices</w:t>
      </w:r>
      <w:r>
        <w:rPr>
          <w:i/>
          <w:iCs/>
        </w:rPr>
        <w:t>.</w:t>
      </w:r>
      <w:r w:rsidR="00242229">
        <w:t xml:space="preserve"> </w:t>
      </w:r>
      <w:r w:rsidR="0054462B">
        <w:t xml:space="preserve">The capacity for </w:t>
      </w:r>
      <w:r w:rsidR="00183D9E">
        <w:t xml:space="preserve">applying the Rapid Assessment methodology, particularly with respect to </w:t>
      </w:r>
      <w:r w:rsidR="0054462B">
        <w:t>data collection</w:t>
      </w:r>
      <w:r w:rsidR="00374850">
        <w:t xml:space="preserve"> and interviews</w:t>
      </w:r>
      <w:r w:rsidR="00913E00">
        <w:t xml:space="preserve">, is currently </w:t>
      </w:r>
      <w:r w:rsidR="001E01C0">
        <w:t>be</w:t>
      </w:r>
      <w:r w:rsidR="00913E00">
        <w:t>ing</w:t>
      </w:r>
      <w:r w:rsidR="001E01C0">
        <w:t xml:space="preserve"> built </w:t>
      </w:r>
      <w:r w:rsidR="00335A50">
        <w:t xml:space="preserve">in </w:t>
      </w:r>
      <w:r w:rsidR="00913E00">
        <w:t xml:space="preserve">the </w:t>
      </w:r>
      <w:r w:rsidR="00335A50">
        <w:t>Regional</w:t>
      </w:r>
      <w:r w:rsidR="001E01C0">
        <w:t xml:space="preserve"> Office</w:t>
      </w:r>
      <w:r w:rsidR="00913E00">
        <w:t>s</w:t>
      </w:r>
      <w:r w:rsidR="00F1269F">
        <w:t xml:space="preserve">. </w:t>
      </w:r>
      <w:r w:rsidR="002006CD">
        <w:t xml:space="preserve">This will facilitate the </w:t>
      </w:r>
      <w:r w:rsidR="00D9020A">
        <w:t xml:space="preserve">upscaling </w:t>
      </w:r>
      <w:r w:rsidR="00B47DEB">
        <w:t xml:space="preserve">of the assessment and </w:t>
      </w:r>
      <w:r w:rsidR="008A433A">
        <w:t>improve</w:t>
      </w:r>
      <w:r w:rsidR="00393251">
        <w:t xml:space="preserve"> </w:t>
      </w:r>
      <w:r w:rsidR="00B47DEB">
        <w:t xml:space="preserve">the </w:t>
      </w:r>
      <w:r w:rsidR="00393251">
        <w:t xml:space="preserve">data availability. </w:t>
      </w:r>
    </w:p>
    <w:p w14:paraId="32EFAF54" w14:textId="77777777" w:rsidR="0042000D" w:rsidRPr="0042000D" w:rsidRDefault="0042000D" w:rsidP="0042000D">
      <w:pPr>
        <w:pStyle w:val="ListParagraph"/>
        <w:ind w:left="0"/>
        <w:jc w:val="left"/>
      </w:pPr>
    </w:p>
    <w:p w14:paraId="066EC0A8" w14:textId="2130A485" w:rsidR="001309C2" w:rsidRDefault="001007B4" w:rsidP="000F1C39">
      <w:pPr>
        <w:pStyle w:val="ListParagraph"/>
        <w:numPr>
          <w:ilvl w:val="0"/>
          <w:numId w:val="1"/>
        </w:numPr>
        <w:ind w:left="0" w:firstLine="0"/>
        <w:jc w:val="left"/>
      </w:pPr>
      <w:r>
        <w:rPr>
          <w:i/>
          <w:iCs/>
        </w:rPr>
        <w:t>Scal</w:t>
      </w:r>
      <w:r w:rsidR="0000457D">
        <w:rPr>
          <w:i/>
          <w:iCs/>
        </w:rPr>
        <w:t>e</w:t>
      </w:r>
      <w:r>
        <w:rPr>
          <w:i/>
          <w:iCs/>
        </w:rPr>
        <w:t xml:space="preserve"> </w:t>
      </w:r>
      <w:r w:rsidR="0000457D">
        <w:rPr>
          <w:i/>
          <w:iCs/>
        </w:rPr>
        <w:t>u</w:t>
      </w:r>
      <w:r>
        <w:rPr>
          <w:i/>
          <w:iCs/>
        </w:rPr>
        <w:t>p</w:t>
      </w:r>
      <w:r w:rsidR="002D0964">
        <w:rPr>
          <w:i/>
          <w:iCs/>
        </w:rPr>
        <w:t xml:space="preserve"> </w:t>
      </w:r>
      <w:r w:rsidR="00442D98">
        <w:rPr>
          <w:i/>
          <w:iCs/>
        </w:rPr>
        <w:t xml:space="preserve">to </w:t>
      </w:r>
      <w:r w:rsidR="0000457D">
        <w:rPr>
          <w:i/>
          <w:iCs/>
        </w:rPr>
        <w:t>m</w:t>
      </w:r>
      <w:r w:rsidR="005A79D1">
        <w:rPr>
          <w:i/>
          <w:iCs/>
        </w:rPr>
        <w:t xml:space="preserve">ore </w:t>
      </w:r>
      <w:r w:rsidR="002D0964">
        <w:rPr>
          <w:i/>
          <w:iCs/>
        </w:rPr>
        <w:t>WMO Members</w:t>
      </w:r>
      <w:r>
        <w:rPr>
          <w:i/>
          <w:iCs/>
        </w:rPr>
        <w:t xml:space="preserve">. </w:t>
      </w:r>
      <w:r w:rsidR="00341DE0">
        <w:t xml:space="preserve">The Secretariat </w:t>
      </w:r>
      <w:r w:rsidR="002D0964">
        <w:t xml:space="preserve">plans </w:t>
      </w:r>
      <w:r w:rsidR="00CF36E0">
        <w:t xml:space="preserve">to </w:t>
      </w:r>
      <w:r w:rsidR="00E971C2">
        <w:t>progressively increas</w:t>
      </w:r>
      <w:r w:rsidR="00CF36E0">
        <w:t>e</w:t>
      </w:r>
      <w:r w:rsidR="00E971C2">
        <w:t xml:space="preserve"> the number of Members with </w:t>
      </w:r>
      <w:r w:rsidR="00A2003F">
        <w:t>Pillar 2 Rapid Assessment</w:t>
      </w:r>
      <w:r w:rsidR="00D8553D">
        <w:t>s</w:t>
      </w:r>
      <w:r w:rsidR="002D0964">
        <w:t xml:space="preserve"> </w:t>
      </w:r>
      <w:r w:rsidR="009A482E">
        <w:t xml:space="preserve">from 30 to 60 in 2024 and up to 100 </w:t>
      </w:r>
      <w:r w:rsidR="00442453">
        <w:t xml:space="preserve">Members </w:t>
      </w:r>
      <w:r w:rsidR="009A482E">
        <w:t>by the end of 2025</w:t>
      </w:r>
      <w:r w:rsidR="00E726AF">
        <w:t>.</w:t>
      </w:r>
      <w:r w:rsidR="000C6652">
        <w:t xml:space="preserve"> </w:t>
      </w:r>
      <w:r w:rsidR="00E977AD">
        <w:t xml:space="preserve">Two </w:t>
      </w:r>
      <w:r w:rsidR="000C6652">
        <w:t xml:space="preserve">mechanisms </w:t>
      </w:r>
      <w:r w:rsidR="006A59A8">
        <w:t xml:space="preserve">will be used </w:t>
      </w:r>
      <w:r w:rsidR="00D8553D">
        <w:t>to this end</w:t>
      </w:r>
      <w:r w:rsidR="00A50736">
        <w:t>: (</w:t>
      </w:r>
      <w:proofErr w:type="spellStart"/>
      <w:r w:rsidR="00A50736">
        <w:t>i</w:t>
      </w:r>
      <w:proofErr w:type="spellEnd"/>
      <w:r w:rsidR="00A50736">
        <w:t xml:space="preserve">) </w:t>
      </w:r>
      <w:r w:rsidR="00D8553D">
        <w:t xml:space="preserve">upon </w:t>
      </w:r>
      <w:r w:rsidR="00A50736">
        <w:t>demand</w:t>
      </w:r>
      <w:r w:rsidR="00E977AD">
        <w:t xml:space="preserve"> </w:t>
      </w:r>
      <w:r w:rsidR="00A50736">
        <w:t>(</w:t>
      </w:r>
      <w:r w:rsidR="00825F27">
        <w:t xml:space="preserve">as requested by </w:t>
      </w:r>
      <w:r w:rsidR="00D8553D">
        <w:t xml:space="preserve">the </w:t>
      </w:r>
      <w:r w:rsidR="00C506C5">
        <w:t xml:space="preserve">Regional Associations and </w:t>
      </w:r>
      <w:r w:rsidR="0092169A">
        <w:t>Members</w:t>
      </w:r>
      <w:r w:rsidR="00825F27">
        <w:t xml:space="preserve">, particularly those </w:t>
      </w:r>
      <w:r w:rsidR="00C506C5">
        <w:t>joining EW4All</w:t>
      </w:r>
      <w:r w:rsidR="00825F27">
        <w:t xml:space="preserve"> </w:t>
      </w:r>
      <w:r w:rsidR="00C506C5">
        <w:t>implementation</w:t>
      </w:r>
      <w:r w:rsidR="0092169A">
        <w:t xml:space="preserve">) and (ii) </w:t>
      </w:r>
      <w:r w:rsidR="009A482E">
        <w:t xml:space="preserve">through the </w:t>
      </w:r>
      <w:r w:rsidR="002D494D">
        <w:t>SOFF R</w:t>
      </w:r>
      <w:r w:rsidR="009A482E">
        <w:t xml:space="preserve">eadiness </w:t>
      </w:r>
      <w:r w:rsidR="002D494D">
        <w:t>P</w:t>
      </w:r>
      <w:r w:rsidR="009A482E">
        <w:t>hase.</w:t>
      </w:r>
      <w:r w:rsidR="00ED7A7D">
        <w:t xml:space="preserve"> Data availability on a larger sample of Members will allow </w:t>
      </w:r>
      <w:r w:rsidR="008A433A">
        <w:t xml:space="preserve">broader </w:t>
      </w:r>
      <w:r w:rsidR="00ED7A7D">
        <w:t>regional analysis</w:t>
      </w:r>
      <w:r w:rsidR="00E71C21">
        <w:t>, thematic reports</w:t>
      </w:r>
      <w:r w:rsidR="00ED7A7D">
        <w:t xml:space="preserve"> and better-informed insights on global needs and gaps.</w:t>
      </w:r>
      <w:r w:rsidR="009917B9">
        <w:t xml:space="preserve"> </w:t>
      </w:r>
      <w:r w:rsidR="002F0276">
        <w:t xml:space="preserve">It will also establish an important baseline for measuring progress in </w:t>
      </w:r>
      <w:r w:rsidR="00ED1BF5">
        <w:t xml:space="preserve">country </w:t>
      </w:r>
      <w:r w:rsidR="00C248F0">
        <w:t>capacity</w:t>
      </w:r>
      <w:r w:rsidR="00D555B3">
        <w:t xml:space="preserve"> </w:t>
      </w:r>
      <w:r w:rsidR="004E7270">
        <w:t xml:space="preserve">(i.e. moving from red to orange to yellow and ultimately green).  </w:t>
      </w:r>
    </w:p>
    <w:p w14:paraId="4F2E8C8D" w14:textId="77777777" w:rsidR="0052100C" w:rsidRDefault="0052100C" w:rsidP="0052100C">
      <w:pPr>
        <w:pStyle w:val="ListParagraph"/>
        <w:ind w:left="0"/>
        <w:jc w:val="left"/>
      </w:pPr>
    </w:p>
    <w:p w14:paraId="1834F0EE" w14:textId="1FB4FB0F" w:rsidR="002B4C46" w:rsidRDefault="00EC59DC" w:rsidP="006C447D">
      <w:pPr>
        <w:numPr>
          <w:ilvl w:val="0"/>
          <w:numId w:val="1"/>
        </w:numPr>
        <w:ind w:left="0" w:firstLine="0"/>
        <w:contextualSpacing/>
        <w:jc w:val="left"/>
      </w:pPr>
      <w:r>
        <w:rPr>
          <w:i/>
          <w:iCs/>
        </w:rPr>
        <w:t>Exp</w:t>
      </w:r>
      <w:r w:rsidR="001E565B">
        <w:rPr>
          <w:i/>
          <w:iCs/>
        </w:rPr>
        <w:t>an</w:t>
      </w:r>
      <w:r w:rsidR="0000457D">
        <w:rPr>
          <w:i/>
          <w:iCs/>
        </w:rPr>
        <w:t>d</w:t>
      </w:r>
      <w:r w:rsidR="001C539E">
        <w:rPr>
          <w:i/>
          <w:iCs/>
        </w:rPr>
        <w:t xml:space="preserve"> </w:t>
      </w:r>
      <w:r w:rsidR="0000457D">
        <w:rPr>
          <w:i/>
          <w:iCs/>
        </w:rPr>
        <w:t>b</w:t>
      </w:r>
      <w:r w:rsidR="001C539E">
        <w:rPr>
          <w:i/>
          <w:iCs/>
        </w:rPr>
        <w:t>eyond Pillar 2</w:t>
      </w:r>
      <w:r w:rsidR="001E565B">
        <w:rPr>
          <w:i/>
          <w:iCs/>
        </w:rPr>
        <w:t xml:space="preserve">. </w:t>
      </w:r>
      <w:r w:rsidR="001E565B" w:rsidRPr="00350018">
        <w:t xml:space="preserve">Co-chaired by WMO and </w:t>
      </w:r>
      <w:r w:rsidR="006C447D">
        <w:t xml:space="preserve">the </w:t>
      </w:r>
      <w:r w:rsidR="006C447D" w:rsidRPr="006C447D">
        <w:t>United Nations Office for Disaster Risk Reduction</w:t>
      </w:r>
      <w:r w:rsidR="006C447D">
        <w:t xml:space="preserve"> (</w:t>
      </w:r>
      <w:r w:rsidR="001E565B" w:rsidRPr="00350018">
        <w:t>UNDRR</w:t>
      </w:r>
      <w:r w:rsidR="006C447D">
        <w:t>)</w:t>
      </w:r>
      <w:r w:rsidR="001E565B" w:rsidRPr="00350018">
        <w:t xml:space="preserve">, the EW4All Monitoring and Evaluation </w:t>
      </w:r>
      <w:r w:rsidR="00D748B4">
        <w:t xml:space="preserve">(M&amp;E) </w:t>
      </w:r>
      <w:r w:rsidR="001E565B" w:rsidRPr="00350018">
        <w:t xml:space="preserve">Working Group </w:t>
      </w:r>
      <w:r w:rsidR="001E565B">
        <w:t xml:space="preserve">plans to </w:t>
      </w:r>
      <w:r w:rsidR="001E565B" w:rsidRPr="00350018">
        <w:t>replicat</w:t>
      </w:r>
      <w:r w:rsidR="001E565B">
        <w:t>e</w:t>
      </w:r>
      <w:r w:rsidR="001E565B" w:rsidRPr="00350018">
        <w:t xml:space="preserve"> the methodology to the other three pillars of the Initiative</w:t>
      </w:r>
      <w:r w:rsidR="001E565B">
        <w:t>. Pillar 1 has successfully</w:t>
      </w:r>
      <w:r w:rsidR="005872E8">
        <w:t xml:space="preserve"> tested </w:t>
      </w:r>
      <w:r w:rsidR="00BA542E">
        <w:t xml:space="preserve">its </w:t>
      </w:r>
      <w:r w:rsidR="005872E8">
        <w:t xml:space="preserve">applicability </w:t>
      </w:r>
      <w:r w:rsidR="00916DE9">
        <w:t xml:space="preserve">and is </w:t>
      </w:r>
      <w:r w:rsidR="00084174">
        <w:t>currently working on fine-tuning the weights</w:t>
      </w:r>
      <w:r w:rsidR="00927E67">
        <w:t xml:space="preserve"> assigned</w:t>
      </w:r>
      <w:r w:rsidR="00084174">
        <w:t xml:space="preserve">. </w:t>
      </w:r>
    </w:p>
    <w:p w14:paraId="420B9EDF" w14:textId="77777777" w:rsidR="002B4C46" w:rsidRDefault="002B4C46" w:rsidP="002B4C46">
      <w:pPr>
        <w:pStyle w:val="ListParagraph"/>
      </w:pPr>
    </w:p>
    <w:p w14:paraId="5F0895D7" w14:textId="4538AAD8" w:rsidR="00B821B7" w:rsidRDefault="0000457D" w:rsidP="005B7124">
      <w:pPr>
        <w:numPr>
          <w:ilvl w:val="0"/>
          <w:numId w:val="1"/>
        </w:numPr>
        <w:ind w:left="0" w:firstLine="0"/>
        <w:contextualSpacing/>
        <w:jc w:val="left"/>
      </w:pPr>
      <w:r>
        <w:rPr>
          <w:i/>
          <w:iCs/>
        </w:rPr>
        <w:t>Develop a</w:t>
      </w:r>
      <w:r w:rsidR="005B7124">
        <w:rPr>
          <w:i/>
          <w:iCs/>
        </w:rPr>
        <w:t>n</w:t>
      </w:r>
      <w:r>
        <w:rPr>
          <w:i/>
          <w:iCs/>
        </w:rPr>
        <w:t xml:space="preserve"> </w:t>
      </w:r>
      <w:r w:rsidR="005B7124" w:rsidRPr="005B7124">
        <w:rPr>
          <w:i/>
          <w:iCs/>
        </w:rPr>
        <w:t>Early Warning System</w:t>
      </w:r>
      <w:r w:rsidR="005B7124">
        <w:rPr>
          <w:i/>
          <w:iCs/>
        </w:rPr>
        <w:t xml:space="preserve"> (</w:t>
      </w:r>
      <w:r w:rsidR="0076410D">
        <w:rPr>
          <w:i/>
          <w:iCs/>
        </w:rPr>
        <w:t>EWS</w:t>
      </w:r>
      <w:r w:rsidR="005B7124">
        <w:rPr>
          <w:i/>
          <w:iCs/>
        </w:rPr>
        <w:t>)</w:t>
      </w:r>
      <w:r w:rsidR="0076410D">
        <w:rPr>
          <w:i/>
          <w:iCs/>
        </w:rPr>
        <w:t xml:space="preserve"> </w:t>
      </w:r>
      <w:r w:rsidR="002B4C46">
        <w:rPr>
          <w:i/>
          <w:iCs/>
        </w:rPr>
        <w:t xml:space="preserve">Maturity Index. </w:t>
      </w:r>
      <w:r w:rsidR="00BA542E">
        <w:t>T</w:t>
      </w:r>
      <w:r w:rsidR="00D748B4">
        <w:t xml:space="preserve">he EW4All M&amp;E </w:t>
      </w:r>
      <w:r w:rsidR="00C65627">
        <w:t xml:space="preserve">Working Group </w:t>
      </w:r>
      <w:r w:rsidR="00247A79">
        <w:t xml:space="preserve">is also initiating work on the </w:t>
      </w:r>
      <w:r w:rsidR="00247A79" w:rsidRPr="00247A79">
        <w:t>development of a maturity index</w:t>
      </w:r>
      <w:r w:rsidR="009C70A0">
        <w:t xml:space="preserve">, based on </w:t>
      </w:r>
      <w:r w:rsidR="00BA542E">
        <w:t xml:space="preserve">the WMO Rapid Assessment methodology and the </w:t>
      </w:r>
      <w:r w:rsidR="00BA542E" w:rsidRPr="00247A79">
        <w:t>minimum core capabilities established</w:t>
      </w:r>
      <w:r w:rsidR="009C70A0">
        <w:t xml:space="preserve"> </w:t>
      </w:r>
      <w:r w:rsidR="008D20C8">
        <w:t>by</w:t>
      </w:r>
      <w:r w:rsidR="009C70A0">
        <w:t xml:space="preserve"> the four pillars.</w:t>
      </w:r>
    </w:p>
    <w:p w14:paraId="67692F1F" w14:textId="77777777" w:rsidR="00B821B7" w:rsidRDefault="00B821B7" w:rsidP="00B821B7">
      <w:pPr>
        <w:pStyle w:val="ListParagraph"/>
      </w:pPr>
    </w:p>
    <w:p w14:paraId="092C01B7" w14:textId="00540A05" w:rsidR="00884776" w:rsidRPr="00350018" w:rsidRDefault="00BE06BF" w:rsidP="00BE06BF">
      <w:pPr>
        <w:contextualSpacing/>
        <w:jc w:val="center"/>
      </w:pPr>
      <w:r>
        <w:t>_____________</w:t>
      </w:r>
    </w:p>
    <w:sectPr w:rsidR="00884776" w:rsidRPr="00350018" w:rsidSect="00AE426D">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993"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7BD6" w14:textId="77777777" w:rsidR="00EF57CB" w:rsidRDefault="00EF57CB">
      <w:r>
        <w:separator/>
      </w:r>
    </w:p>
    <w:p w14:paraId="4B238AEC" w14:textId="77777777" w:rsidR="00EF57CB" w:rsidRDefault="00EF57CB"/>
    <w:p w14:paraId="2D9552D5" w14:textId="77777777" w:rsidR="00EF57CB" w:rsidRDefault="00EF57CB"/>
  </w:endnote>
  <w:endnote w:type="continuationSeparator" w:id="0">
    <w:p w14:paraId="52252E22" w14:textId="77777777" w:rsidR="00EF57CB" w:rsidRDefault="00EF57CB">
      <w:r>
        <w:continuationSeparator/>
      </w:r>
    </w:p>
    <w:p w14:paraId="7767A138" w14:textId="77777777" w:rsidR="00EF57CB" w:rsidRDefault="00EF57CB"/>
    <w:p w14:paraId="5DA0DD80" w14:textId="77777777" w:rsidR="00EF57CB" w:rsidRDefault="00EF57CB"/>
  </w:endnote>
  <w:endnote w:type="continuationNotice" w:id="1">
    <w:p w14:paraId="60468992" w14:textId="77777777" w:rsidR="00EF57CB" w:rsidRDefault="00EF5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6B85" w14:textId="77777777" w:rsidR="00345F17" w:rsidRDefault="00345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8CD9" w14:textId="77777777" w:rsidR="00345F17" w:rsidRDefault="00345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5E4" w14:textId="77777777" w:rsidR="00345F17" w:rsidRDefault="0034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FC40" w14:textId="77777777" w:rsidR="00EF57CB" w:rsidRDefault="00EF57CB">
      <w:r>
        <w:separator/>
      </w:r>
    </w:p>
  </w:footnote>
  <w:footnote w:type="continuationSeparator" w:id="0">
    <w:p w14:paraId="0C21D2E8" w14:textId="77777777" w:rsidR="00EF57CB" w:rsidRDefault="00EF57CB">
      <w:r>
        <w:continuationSeparator/>
      </w:r>
    </w:p>
    <w:p w14:paraId="08A4CCDA" w14:textId="77777777" w:rsidR="00EF57CB" w:rsidRDefault="00EF57CB"/>
    <w:p w14:paraId="35536E02" w14:textId="77777777" w:rsidR="00EF57CB" w:rsidRDefault="00EF57CB"/>
  </w:footnote>
  <w:footnote w:type="continuationNotice" w:id="1">
    <w:p w14:paraId="6BC8F265" w14:textId="77777777" w:rsidR="00EF57CB" w:rsidRDefault="00EF57CB"/>
  </w:footnote>
  <w:footnote w:id="2">
    <w:p w14:paraId="7428AEAA" w14:textId="77777777" w:rsidR="00952347" w:rsidRPr="00EA3BF5" w:rsidRDefault="00952347" w:rsidP="00952347">
      <w:pPr>
        <w:pStyle w:val="FootnoteText"/>
        <w:rPr>
          <w:sz w:val="16"/>
          <w:szCs w:val="16"/>
        </w:rPr>
      </w:pPr>
      <w:r w:rsidRPr="00EA3BF5">
        <w:rPr>
          <w:rStyle w:val="FootnoteReference"/>
          <w:sz w:val="16"/>
          <w:szCs w:val="16"/>
        </w:rPr>
        <w:footnoteRef/>
      </w:r>
      <w:r w:rsidRPr="00EA3BF5">
        <w:rPr>
          <w:sz w:val="16"/>
          <w:szCs w:val="16"/>
        </w:rPr>
        <w:t xml:space="preserve"> The CHD has been developed by the Alliance for </w:t>
      </w:r>
      <w:proofErr w:type="spellStart"/>
      <w:r w:rsidRPr="00EA3BF5">
        <w:rPr>
          <w:sz w:val="16"/>
          <w:szCs w:val="16"/>
        </w:rPr>
        <w:t>Hydromet</w:t>
      </w:r>
      <w:proofErr w:type="spellEnd"/>
      <w:r w:rsidRPr="00EA3BF5">
        <w:rPr>
          <w:sz w:val="16"/>
          <w:szCs w:val="16"/>
        </w:rPr>
        <w:t xml:space="preserve"> Development under WMO leadership and with the guidance of a multi-party Working Group. It is based on a peer approach where advanced NMHSs from both developed and developing countries undertake the diagnostics, following the standardized methodology. CHD provides a maturity assessment of NMHS operations along 10 elements of the hydrometeorological value chain. Behind each element sit various indicators, which are informed by data sources and by direct interviews and observation for validation purposes.</w:t>
      </w:r>
    </w:p>
  </w:footnote>
  <w:footnote w:id="3">
    <w:p w14:paraId="57C1A671" w14:textId="77777777" w:rsidR="00952347" w:rsidRPr="00EA3BF5" w:rsidRDefault="00952347" w:rsidP="00952347">
      <w:pPr>
        <w:pStyle w:val="FootnoteText"/>
        <w:rPr>
          <w:sz w:val="16"/>
          <w:szCs w:val="16"/>
        </w:rPr>
      </w:pPr>
      <w:r w:rsidRPr="00EA3BF5">
        <w:rPr>
          <w:rStyle w:val="FootnoteReference"/>
          <w:sz w:val="16"/>
          <w:szCs w:val="16"/>
        </w:rPr>
        <w:footnoteRef/>
      </w:r>
      <w:r w:rsidRPr="00EA3BF5">
        <w:rPr>
          <w:sz w:val="16"/>
          <w:szCs w:val="16"/>
        </w:rPr>
        <w:t xml:space="preserve"> </w:t>
      </w:r>
      <w:hyperlink r:id="rId1" w:history="1">
        <w:r w:rsidRPr="00EA3BF5">
          <w:rPr>
            <w:rStyle w:val="Hyperlink"/>
            <w:sz w:val="16"/>
            <w:szCs w:val="16"/>
          </w:rPr>
          <w:t>Multi-hazard Early Warning Systems: A Checklist (wmo.int)</w:t>
        </w:r>
      </w:hyperlink>
    </w:p>
  </w:footnote>
  <w:footnote w:id="4">
    <w:p w14:paraId="3B1B3277" w14:textId="77777777" w:rsidR="00952347" w:rsidRPr="00EA3BF5" w:rsidRDefault="00952347" w:rsidP="00952347">
      <w:pPr>
        <w:pStyle w:val="FootnoteText"/>
        <w:rPr>
          <w:sz w:val="16"/>
          <w:szCs w:val="16"/>
        </w:rPr>
      </w:pPr>
      <w:r w:rsidRPr="00EA3BF5">
        <w:rPr>
          <w:rStyle w:val="FootnoteReference"/>
          <w:sz w:val="16"/>
          <w:szCs w:val="16"/>
        </w:rPr>
        <w:footnoteRef/>
      </w:r>
      <w:r w:rsidRPr="00EA3BF5">
        <w:rPr>
          <w:sz w:val="16"/>
          <w:szCs w:val="16"/>
        </w:rPr>
        <w:t xml:space="preserve"> </w:t>
      </w:r>
      <w:hyperlink r:id="rId2" w:history="1">
        <w:r w:rsidRPr="00EA3BF5">
          <w:rPr>
            <w:rStyle w:val="Hyperlink"/>
            <w:sz w:val="16"/>
            <w:szCs w:val="16"/>
          </w:rPr>
          <w:t>EWS Toolkit - Multi-hazard Early Warning Systems: A Checklist (cdema.org)</w:t>
        </w:r>
      </w:hyperlink>
    </w:p>
  </w:footnote>
  <w:footnote w:id="5">
    <w:p w14:paraId="1D6BCAE9" w14:textId="77777777" w:rsidR="00952347" w:rsidRPr="00EA3BF5" w:rsidRDefault="00952347" w:rsidP="00952347">
      <w:pPr>
        <w:pStyle w:val="FootnoteText"/>
        <w:rPr>
          <w:sz w:val="16"/>
          <w:szCs w:val="16"/>
        </w:rPr>
      </w:pPr>
      <w:r w:rsidRPr="00EA3BF5">
        <w:rPr>
          <w:rStyle w:val="FootnoteReference"/>
          <w:sz w:val="16"/>
          <w:szCs w:val="16"/>
        </w:rPr>
        <w:footnoteRef/>
      </w:r>
      <w:r w:rsidRPr="00EA3BF5">
        <w:rPr>
          <w:sz w:val="16"/>
          <w:szCs w:val="16"/>
        </w:rPr>
        <w:t xml:space="preserve"> </w:t>
      </w:r>
      <w:hyperlink r:id="rId3" w:history="1">
        <w:r w:rsidRPr="00EA3BF5">
          <w:rPr>
            <w:rStyle w:val="Hyperlink"/>
            <w:sz w:val="16"/>
            <w:szCs w:val="16"/>
          </w:rPr>
          <w:t>Multi-hazard early warning system custom indicators &amp; methodologies for computation | UNDRR</w:t>
        </w:r>
      </w:hyperlink>
    </w:p>
  </w:footnote>
  <w:footnote w:id="6">
    <w:p w14:paraId="79AE1790" w14:textId="15305D03" w:rsidR="00F55944" w:rsidRPr="00F56A86" w:rsidRDefault="00F55944">
      <w:pPr>
        <w:pStyle w:val="FootnoteText"/>
        <w:rPr>
          <w:sz w:val="16"/>
          <w:szCs w:val="16"/>
          <w:lang w:val="en-US"/>
        </w:rPr>
      </w:pPr>
      <w:r w:rsidRPr="00F56A86">
        <w:rPr>
          <w:rStyle w:val="FootnoteReference"/>
          <w:sz w:val="16"/>
          <w:szCs w:val="16"/>
        </w:rPr>
        <w:footnoteRef/>
      </w:r>
      <w:r w:rsidRPr="00F56A86">
        <w:rPr>
          <w:sz w:val="16"/>
          <w:szCs w:val="16"/>
        </w:rPr>
        <w:t xml:space="preserve"> </w:t>
      </w:r>
      <w:r w:rsidR="005C0804" w:rsidRPr="00F56A86">
        <w:rPr>
          <w:sz w:val="16"/>
          <w:szCs w:val="16"/>
        </w:rPr>
        <w:t xml:space="preserve">The SOFF Steering Committee has approved funding for the readiness phase </w:t>
      </w:r>
      <w:r w:rsidR="00A7553D" w:rsidRPr="00F56A86">
        <w:rPr>
          <w:sz w:val="16"/>
          <w:szCs w:val="16"/>
        </w:rPr>
        <w:t xml:space="preserve">of </w:t>
      </w:r>
      <w:r w:rsidR="005C0804" w:rsidRPr="00F56A86">
        <w:rPr>
          <w:sz w:val="16"/>
          <w:szCs w:val="16"/>
        </w:rPr>
        <w:t>60 beneficiary countries</w:t>
      </w:r>
      <w:r w:rsidR="00A7553D" w:rsidRPr="00F56A86">
        <w:rPr>
          <w:sz w:val="16"/>
          <w:szCs w:val="16"/>
        </w:rPr>
        <w:t xml:space="preserve">, including all 30 countries </w:t>
      </w:r>
      <w:r w:rsidR="006D0275" w:rsidRPr="00F56A86">
        <w:rPr>
          <w:sz w:val="16"/>
          <w:szCs w:val="16"/>
        </w:rPr>
        <w:t xml:space="preserve">initially </w:t>
      </w:r>
      <w:r w:rsidR="00A7553D" w:rsidRPr="00F56A86">
        <w:rPr>
          <w:sz w:val="16"/>
          <w:szCs w:val="16"/>
        </w:rPr>
        <w:t xml:space="preserve">selected </w:t>
      </w:r>
      <w:r w:rsidR="006D0275" w:rsidRPr="00F56A86">
        <w:rPr>
          <w:sz w:val="16"/>
          <w:szCs w:val="16"/>
        </w:rPr>
        <w:t xml:space="preserve">for coordinated assistance under EW4All. </w:t>
      </w:r>
      <w:r w:rsidR="00B84949" w:rsidRPr="00F56A86">
        <w:rPr>
          <w:sz w:val="16"/>
          <w:szCs w:val="16"/>
        </w:rPr>
        <w:t xml:space="preserve">One country has a CHD funded </w:t>
      </w:r>
      <w:r w:rsidR="00350D3D" w:rsidRPr="00F56A86">
        <w:rPr>
          <w:sz w:val="16"/>
          <w:szCs w:val="16"/>
        </w:rPr>
        <w:t xml:space="preserve">a separate project. </w:t>
      </w:r>
    </w:p>
  </w:footnote>
  <w:footnote w:id="7">
    <w:p w14:paraId="0BE048F1" w14:textId="72D05438" w:rsidR="00F56A86" w:rsidRPr="00F56A86" w:rsidRDefault="00F56A86">
      <w:pPr>
        <w:pStyle w:val="FootnoteText"/>
        <w:rPr>
          <w:sz w:val="16"/>
          <w:szCs w:val="16"/>
          <w:lang w:val="en-US"/>
        </w:rPr>
      </w:pPr>
      <w:r w:rsidRPr="00F56A86">
        <w:rPr>
          <w:rStyle w:val="FootnoteReference"/>
          <w:sz w:val="16"/>
          <w:szCs w:val="16"/>
        </w:rPr>
        <w:footnoteRef/>
      </w:r>
      <w:r w:rsidRPr="00F56A86">
        <w:rPr>
          <w:sz w:val="16"/>
          <w:szCs w:val="16"/>
        </w:rPr>
        <w:t xml:space="preserve"> Antigua and Barbuda, Bangladesh, Barbados, Cambodia, Chad, Comoros, Djibouti, Ecuador, Ethiopia, Fiji, Guatemala, Guyana, Haiti, Kiribati, Lao People’s Democratic Republic, Liberia, Madagascar, Maldives, Mauritius, Mozambique, Nepal, Niger, Samoa, Solomon Islands, Somalia, South Sudan, Sudan, Tajikistan, Tonga, Uganda</w:t>
      </w:r>
      <w:r>
        <w:rPr>
          <w:sz w:val="16"/>
          <w:szCs w:val="16"/>
        </w:rPr>
        <w:t>.</w:t>
      </w:r>
    </w:p>
  </w:footnote>
  <w:footnote w:id="8">
    <w:p w14:paraId="584A75EF" w14:textId="77777777" w:rsidR="00D84A51" w:rsidRPr="00CA3E27" w:rsidRDefault="00D84A51" w:rsidP="00D84A51">
      <w:pPr>
        <w:pStyle w:val="FootnoteText"/>
        <w:rPr>
          <w:sz w:val="16"/>
          <w:szCs w:val="16"/>
          <w:lang w:val="en-US"/>
        </w:rPr>
      </w:pPr>
      <w:r w:rsidRPr="00835310">
        <w:rPr>
          <w:rStyle w:val="FootnoteReference"/>
          <w:sz w:val="16"/>
          <w:szCs w:val="16"/>
        </w:rPr>
        <w:footnoteRef/>
      </w:r>
      <w:r w:rsidRPr="00835310">
        <w:rPr>
          <w:sz w:val="16"/>
          <w:szCs w:val="16"/>
        </w:rPr>
        <w:t xml:space="preserve"> </w:t>
      </w:r>
      <w:r w:rsidRPr="00CA3E27">
        <w:rPr>
          <w:sz w:val="16"/>
          <w:szCs w:val="16"/>
          <w:lang w:val="en-US"/>
        </w:rPr>
        <w:t xml:space="preserve">Albania, Armenia, Bosnia and Herzegovina, Georgia, Jordan, North Macedonia, Republic of Moldova, Ukraine. </w:t>
      </w:r>
    </w:p>
  </w:footnote>
  <w:footnote w:id="9">
    <w:p w14:paraId="18363415" w14:textId="2FB88C3B" w:rsidR="007B58B0" w:rsidRPr="00354955" w:rsidRDefault="007B58B0">
      <w:pPr>
        <w:pStyle w:val="FootnoteText"/>
        <w:rPr>
          <w:sz w:val="16"/>
          <w:szCs w:val="16"/>
          <w:lang w:val="es-ES"/>
        </w:rPr>
      </w:pPr>
      <w:r w:rsidRPr="00CA3E27">
        <w:rPr>
          <w:rStyle w:val="FootnoteReference"/>
          <w:sz w:val="16"/>
          <w:szCs w:val="16"/>
        </w:rPr>
        <w:footnoteRef/>
      </w:r>
      <w:r w:rsidRPr="00354955">
        <w:rPr>
          <w:sz w:val="16"/>
          <w:szCs w:val="16"/>
          <w:lang w:val="es-ES"/>
        </w:rPr>
        <w:t xml:space="preserve"> Cabo Verde</w:t>
      </w:r>
      <w:r w:rsidR="00CF7BE2" w:rsidRPr="00354955">
        <w:rPr>
          <w:sz w:val="16"/>
          <w:szCs w:val="16"/>
          <w:lang w:val="es-ES"/>
        </w:rPr>
        <w:t xml:space="preserve">, Timor-Leste and </w:t>
      </w:r>
      <w:r w:rsidRPr="00354955">
        <w:rPr>
          <w:sz w:val="16"/>
          <w:szCs w:val="16"/>
          <w:lang w:val="es-ES"/>
        </w:rPr>
        <w:t xml:space="preserve">Vanuatu. </w:t>
      </w:r>
    </w:p>
  </w:footnote>
  <w:footnote w:id="10">
    <w:p w14:paraId="256FC721" w14:textId="132ACE60" w:rsidR="003E0564" w:rsidRPr="00CA3E27" w:rsidRDefault="003E0564" w:rsidP="003E0564">
      <w:pPr>
        <w:pStyle w:val="FootnoteText"/>
        <w:rPr>
          <w:sz w:val="16"/>
          <w:szCs w:val="16"/>
          <w:lang w:val="en-US"/>
        </w:rPr>
      </w:pPr>
      <w:r w:rsidRPr="00CA3E27">
        <w:rPr>
          <w:rStyle w:val="FootnoteReference"/>
          <w:sz w:val="16"/>
          <w:szCs w:val="16"/>
        </w:rPr>
        <w:footnoteRef/>
      </w:r>
      <w:r w:rsidRPr="00CA3E27">
        <w:rPr>
          <w:sz w:val="16"/>
          <w:szCs w:val="16"/>
        </w:rPr>
        <w:t xml:space="preserve"> </w:t>
      </w:r>
      <w:r>
        <w:rPr>
          <w:sz w:val="16"/>
          <w:szCs w:val="16"/>
        </w:rPr>
        <w:t xml:space="preserve">Burkina Faso, Côte d’Ivoire, Mali, Nigeria, Republic of Tanzania, Senegal </w:t>
      </w:r>
      <w:r w:rsidR="00062E43">
        <w:rPr>
          <w:sz w:val="16"/>
          <w:szCs w:val="16"/>
        </w:rPr>
        <w:t xml:space="preserve">and </w:t>
      </w:r>
      <w:r>
        <w:rPr>
          <w:sz w:val="16"/>
          <w:szCs w:val="16"/>
        </w:rPr>
        <w:t>Trinidad and Tobago.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0A28" w14:textId="77777777" w:rsidR="0047467F" w:rsidRDefault="001B6907">
    <w:pPr>
      <w:pStyle w:val="Header"/>
    </w:pPr>
    <w:r>
      <w:rPr>
        <w:noProof/>
      </w:rPr>
      <w:pict w14:anchorId="23297341">
        <v:shapetype id="_x0000_m1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C7D78DA">
        <v:shape id="_x0000_s1025" type="#_x0000_m1052" style="position:absolute;left:0;text-align:left;margin-left:0;margin-top:0;width:595.3pt;height:550pt;z-index:-251651072;mso-position-horizontal:left;mso-position-horizontal-relative:page;mso-position-vertical:top;mso-position-vertical-relative:page" o:preferrelative="t" o:allowincell="f">
          <v:imagedata r:id="rId1" o:title="docx4j-logo"/>
          <w10:wrap anchorx="page" anchory="page"/>
        </v:shape>
      </w:pict>
    </w:r>
  </w:p>
  <w:p w14:paraId="054E5798" w14:textId="77777777" w:rsidR="001B6907" w:rsidRDefault="001B6907"/>
  <w:p w14:paraId="69C703BE" w14:textId="77777777" w:rsidR="0047467F" w:rsidRDefault="001B6907">
    <w:pPr>
      <w:pStyle w:val="Header"/>
    </w:pPr>
    <w:r>
      <w:rPr>
        <w:noProof/>
      </w:rPr>
      <w:pict w14:anchorId="12E78B0F">
        <v:shapetype id="_x0000_m10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76B11F5">
        <v:shape id="_x0000_s1027" type="#_x0000_m1051" style="position:absolute;left:0;text-align:left;margin-left:0;margin-top:0;width:595.3pt;height:550pt;z-index:-251652096;mso-position-horizontal:left;mso-position-horizontal-relative:page;mso-position-vertical:top;mso-position-vertical-relative:page" o:preferrelative="t" o:allowincell="f">
          <v:imagedata r:id="rId1" o:title="docx4j-logo"/>
          <w10:wrap anchorx="page" anchory="page"/>
        </v:shape>
      </w:pict>
    </w:r>
  </w:p>
  <w:p w14:paraId="19CD0860" w14:textId="77777777" w:rsidR="001B6907" w:rsidRDefault="001B6907"/>
  <w:p w14:paraId="3B7CAC0C" w14:textId="77777777" w:rsidR="0047467F" w:rsidRDefault="001B6907">
    <w:pPr>
      <w:pStyle w:val="Header"/>
    </w:pPr>
    <w:r>
      <w:rPr>
        <w:noProof/>
      </w:rPr>
      <w:pict w14:anchorId="38E1202D">
        <v:shapetype id="_x0000_m1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677E2DF">
        <v:shape id="_x0000_s1029" type="#_x0000_m1050" style="position:absolute;left:0;text-align:left;margin-left:0;margin-top:0;width:595.3pt;height:550pt;z-index:-251653120;mso-position-horizontal:left;mso-position-horizontal-relative:page;mso-position-vertical:top;mso-position-vertical-relative:page" o:preferrelative="t" o:allowincell="f">
          <v:imagedata r:id="rId1" o:title="docx4j-logo"/>
          <w10:wrap anchorx="page" anchory="page"/>
        </v:shape>
      </w:pict>
    </w:r>
  </w:p>
  <w:p w14:paraId="12057437" w14:textId="77777777" w:rsidR="001B6907" w:rsidRDefault="001B6907"/>
  <w:p w14:paraId="51D7CA5B" w14:textId="77777777" w:rsidR="005D694A" w:rsidRDefault="001B6907">
    <w:pPr>
      <w:pStyle w:val="Header"/>
    </w:pPr>
    <w:r>
      <w:rPr>
        <w:noProof/>
      </w:rPr>
      <w:pict w14:anchorId="5E7AD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0;width:50pt;height:50pt;z-index:251658240;visibility:hidden">
          <v:path gradientshapeok="f"/>
          <o:lock v:ext="edit" selection="t"/>
        </v:shape>
      </w:pict>
    </w:r>
    <w:r>
      <w:pict w14:anchorId="55C64227">
        <v:shapetype 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D7C50D4">
        <v:shape id="WordPictureWatermark835936646" o:spid="_x0000_s1042" type="#_x0000_m1049" style="position:absolute;left:0;text-align:left;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04FC" w14:textId="4A981619" w:rsidR="00A432CD" w:rsidRDefault="00044870" w:rsidP="00B72444">
    <w:pPr>
      <w:pStyle w:val="Header"/>
    </w:pPr>
    <w:r>
      <w:t>EC-78/INF. 3.1</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1B6907">
      <w:pict w14:anchorId="60ECD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9264;visibility:hidden;mso-position-horizontal-relative:text;mso-position-vertical-relative:text">
          <v:path gradientshapeok="f"/>
          <o:lock v:ext="edit" selection="t"/>
        </v:shape>
      </w:pict>
    </w:r>
    <w:r w:rsidR="001B6907">
      <w:pict w14:anchorId="21663772">
        <v:shape id="_x0000_s1040" type="#_x0000_t75" style="position:absolute;left:0;text-align:left;margin-left:0;margin-top:0;width:50pt;height:50pt;z-index:251660288;visibility:hidden;mso-position-horizontal-relative:text;mso-position-vertical-relative:text">
          <v:path gradientshapeok="f"/>
          <o:lock v:ext="edit" selection="t"/>
        </v:shape>
      </w:pict>
    </w:r>
    <w:r w:rsidR="001B6907">
      <w:pict w14:anchorId="5FF2FFDE">
        <v:shape id="_x0000_s1048" type="#_x0000_t75" style="position:absolute;left:0;text-align:left;margin-left:0;margin-top:0;width:50pt;height:50pt;z-index:251654144;visibility:hidden;mso-position-horizontal-relative:text;mso-position-vertical-relative:text">
          <v:path gradientshapeok="f"/>
          <o:lock v:ext="edit" selection="t"/>
        </v:shape>
      </w:pict>
    </w:r>
    <w:r w:rsidR="001B6907">
      <w:pict w14:anchorId="46BB781C">
        <v:shape id="_x0000_s1047" type="#_x0000_t75" style="position:absolute;left:0;text-align:left;margin-left:0;margin-top:0;width:50pt;height:50pt;z-index:25165516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645D" w14:textId="70C517A6" w:rsidR="005D694A" w:rsidRDefault="001B6907">
    <w:pPr>
      <w:pStyle w:val="Header"/>
    </w:pPr>
    <w:r>
      <w:rPr>
        <w:noProof/>
      </w:rPr>
      <w:pict w14:anchorId="4F64F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61312;visibility:hidden">
          <v:path gradientshapeok="f"/>
          <o:lock v:ext="edit" selection="t"/>
        </v:shape>
      </w:pict>
    </w:r>
    <w:r>
      <w:pict w14:anchorId="0DABA4EE">
        <v:shape id="_x0000_s1046" type="#_x0000_t75" style="position:absolute;left:0;text-align:left;margin-left:0;margin-top:0;width:50pt;height:50pt;z-index:251656192;visibility:hidden">
          <v:path gradientshapeok="f"/>
          <o:lock v:ext="edit" selection="t"/>
        </v:shape>
      </w:pict>
    </w:r>
    <w:r>
      <w:pict w14:anchorId="23B0DF86">
        <v:shape id="_x0000_s1045" type="#_x0000_t75" style="position:absolute;left:0;text-align:left;margin-left:0;margin-top:0;width:50pt;height:50pt;z-index:25165721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CBA"/>
    <w:multiLevelType w:val="hybridMultilevel"/>
    <w:tmpl w:val="7528E3DE"/>
    <w:lvl w:ilvl="0" w:tplc="F432BD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D69F1"/>
    <w:multiLevelType w:val="hybridMultilevel"/>
    <w:tmpl w:val="DB7CA718"/>
    <w:lvl w:ilvl="0" w:tplc="41826EB0">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14DC1"/>
    <w:multiLevelType w:val="hybridMultilevel"/>
    <w:tmpl w:val="B07E7BA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4351C1"/>
    <w:multiLevelType w:val="hybridMultilevel"/>
    <w:tmpl w:val="ED3CD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521CA"/>
    <w:multiLevelType w:val="hybridMultilevel"/>
    <w:tmpl w:val="FC2000AA"/>
    <w:lvl w:ilvl="0" w:tplc="6EFE6018">
      <w:start w:val="14"/>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24B87"/>
    <w:multiLevelType w:val="hybridMultilevel"/>
    <w:tmpl w:val="BD40D428"/>
    <w:lvl w:ilvl="0" w:tplc="6CDA7A88">
      <w:start w:val="1"/>
      <w:numFmt w:val="lowerRoman"/>
      <w:lvlText w:val="%1."/>
      <w:lvlJc w:val="right"/>
      <w:pPr>
        <w:ind w:left="1068" w:hanging="360"/>
      </w:pPr>
      <w:rPr>
        <w:rFonts w:ascii="Verdana" w:eastAsiaTheme="minorHAnsi" w:hAnsi="Verdana" w:cstheme="minorBid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809979803">
    <w:abstractNumId w:val="3"/>
  </w:num>
  <w:num w:numId="2" w16cid:durableId="242959507">
    <w:abstractNumId w:val="5"/>
  </w:num>
  <w:num w:numId="3" w16cid:durableId="36778894">
    <w:abstractNumId w:val="0"/>
  </w:num>
  <w:num w:numId="4" w16cid:durableId="265578818">
    <w:abstractNumId w:val="2"/>
  </w:num>
  <w:num w:numId="5" w16cid:durableId="2099863552">
    <w:abstractNumId w:val="4"/>
  </w:num>
  <w:num w:numId="6" w16cid:durableId="166200730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0"/>
    <w:rsid w:val="000001A8"/>
    <w:rsid w:val="0000457D"/>
    <w:rsid w:val="00005301"/>
    <w:rsid w:val="00007A24"/>
    <w:rsid w:val="000133EE"/>
    <w:rsid w:val="0001375F"/>
    <w:rsid w:val="00017F7F"/>
    <w:rsid w:val="000206A8"/>
    <w:rsid w:val="00027205"/>
    <w:rsid w:val="0003137A"/>
    <w:rsid w:val="000318EE"/>
    <w:rsid w:val="00041171"/>
    <w:rsid w:val="00041727"/>
    <w:rsid w:val="0004226F"/>
    <w:rsid w:val="00044870"/>
    <w:rsid w:val="00047620"/>
    <w:rsid w:val="00050F8E"/>
    <w:rsid w:val="000518BB"/>
    <w:rsid w:val="00052D3E"/>
    <w:rsid w:val="0005312F"/>
    <w:rsid w:val="000561DF"/>
    <w:rsid w:val="00056FD4"/>
    <w:rsid w:val="000573AD"/>
    <w:rsid w:val="0006123B"/>
    <w:rsid w:val="00062E43"/>
    <w:rsid w:val="00064F6B"/>
    <w:rsid w:val="0007093B"/>
    <w:rsid w:val="00072F17"/>
    <w:rsid w:val="000731AA"/>
    <w:rsid w:val="00077536"/>
    <w:rsid w:val="000806D8"/>
    <w:rsid w:val="00082C80"/>
    <w:rsid w:val="00083847"/>
    <w:rsid w:val="00083C36"/>
    <w:rsid w:val="00084174"/>
    <w:rsid w:val="00084D58"/>
    <w:rsid w:val="000862A0"/>
    <w:rsid w:val="0008634F"/>
    <w:rsid w:val="00086373"/>
    <w:rsid w:val="00092CAE"/>
    <w:rsid w:val="000959AD"/>
    <w:rsid w:val="00095E48"/>
    <w:rsid w:val="000964E4"/>
    <w:rsid w:val="000A184E"/>
    <w:rsid w:val="000A4F1C"/>
    <w:rsid w:val="000A5AC7"/>
    <w:rsid w:val="000A6050"/>
    <w:rsid w:val="000A69BF"/>
    <w:rsid w:val="000A6FBC"/>
    <w:rsid w:val="000C225A"/>
    <w:rsid w:val="000C436B"/>
    <w:rsid w:val="000C6652"/>
    <w:rsid w:val="000C6781"/>
    <w:rsid w:val="000D0753"/>
    <w:rsid w:val="000D2C40"/>
    <w:rsid w:val="000D6B0B"/>
    <w:rsid w:val="000D7F9B"/>
    <w:rsid w:val="000E3B9A"/>
    <w:rsid w:val="000E48D3"/>
    <w:rsid w:val="000E7C32"/>
    <w:rsid w:val="000F1C39"/>
    <w:rsid w:val="000F414E"/>
    <w:rsid w:val="000F5E49"/>
    <w:rsid w:val="000F7A87"/>
    <w:rsid w:val="001007B4"/>
    <w:rsid w:val="00102BD7"/>
    <w:rsid w:val="00102EAE"/>
    <w:rsid w:val="001047DC"/>
    <w:rsid w:val="001048B5"/>
    <w:rsid w:val="00105D2E"/>
    <w:rsid w:val="001069DF"/>
    <w:rsid w:val="001109D8"/>
    <w:rsid w:val="00111BFD"/>
    <w:rsid w:val="0011498B"/>
    <w:rsid w:val="00117A5A"/>
    <w:rsid w:val="00120147"/>
    <w:rsid w:val="00121354"/>
    <w:rsid w:val="00123140"/>
    <w:rsid w:val="00123D94"/>
    <w:rsid w:val="00126E2B"/>
    <w:rsid w:val="001309C2"/>
    <w:rsid w:val="00130BBC"/>
    <w:rsid w:val="00132FF7"/>
    <w:rsid w:val="00133D13"/>
    <w:rsid w:val="00141901"/>
    <w:rsid w:val="00142F66"/>
    <w:rsid w:val="00143A88"/>
    <w:rsid w:val="00150DBD"/>
    <w:rsid w:val="00154427"/>
    <w:rsid w:val="00154EF7"/>
    <w:rsid w:val="00156F9B"/>
    <w:rsid w:val="00163BA3"/>
    <w:rsid w:val="001669F3"/>
    <w:rsid w:val="00166B31"/>
    <w:rsid w:val="00167D54"/>
    <w:rsid w:val="00176AB5"/>
    <w:rsid w:val="001806C5"/>
    <w:rsid w:val="00180771"/>
    <w:rsid w:val="00181360"/>
    <w:rsid w:val="00183019"/>
    <w:rsid w:val="00183D9E"/>
    <w:rsid w:val="00190854"/>
    <w:rsid w:val="001923DE"/>
    <w:rsid w:val="001930A3"/>
    <w:rsid w:val="00196EB8"/>
    <w:rsid w:val="001A23F8"/>
    <w:rsid w:val="001A25F0"/>
    <w:rsid w:val="001A341E"/>
    <w:rsid w:val="001B0EA6"/>
    <w:rsid w:val="001B1236"/>
    <w:rsid w:val="001B1CDF"/>
    <w:rsid w:val="001B27BE"/>
    <w:rsid w:val="001B2EC4"/>
    <w:rsid w:val="001B56F4"/>
    <w:rsid w:val="001B6232"/>
    <w:rsid w:val="001B6907"/>
    <w:rsid w:val="001B6D15"/>
    <w:rsid w:val="001C189C"/>
    <w:rsid w:val="001C325C"/>
    <w:rsid w:val="001C539E"/>
    <w:rsid w:val="001C5462"/>
    <w:rsid w:val="001D265C"/>
    <w:rsid w:val="001D3062"/>
    <w:rsid w:val="001D3CFB"/>
    <w:rsid w:val="001D559B"/>
    <w:rsid w:val="001D6302"/>
    <w:rsid w:val="001E01C0"/>
    <w:rsid w:val="001E0CAA"/>
    <w:rsid w:val="001E2C22"/>
    <w:rsid w:val="001E565B"/>
    <w:rsid w:val="001E740C"/>
    <w:rsid w:val="001E7DD0"/>
    <w:rsid w:val="001F0E88"/>
    <w:rsid w:val="001F1BDA"/>
    <w:rsid w:val="001F3E4C"/>
    <w:rsid w:val="001F4187"/>
    <w:rsid w:val="001F53C6"/>
    <w:rsid w:val="002006CD"/>
    <w:rsid w:val="0020095E"/>
    <w:rsid w:val="00202F72"/>
    <w:rsid w:val="0020306F"/>
    <w:rsid w:val="00210BFE"/>
    <w:rsid w:val="00210D30"/>
    <w:rsid w:val="002204FD"/>
    <w:rsid w:val="00221020"/>
    <w:rsid w:val="00225EF9"/>
    <w:rsid w:val="00227029"/>
    <w:rsid w:val="002308B5"/>
    <w:rsid w:val="002326A6"/>
    <w:rsid w:val="00233C0B"/>
    <w:rsid w:val="00234A34"/>
    <w:rsid w:val="00240597"/>
    <w:rsid w:val="00242229"/>
    <w:rsid w:val="00244DF3"/>
    <w:rsid w:val="00247A79"/>
    <w:rsid w:val="0025255D"/>
    <w:rsid w:val="00255EE3"/>
    <w:rsid w:val="00256B3D"/>
    <w:rsid w:val="00265B32"/>
    <w:rsid w:val="0026743C"/>
    <w:rsid w:val="00270480"/>
    <w:rsid w:val="00272189"/>
    <w:rsid w:val="002779AF"/>
    <w:rsid w:val="002823D8"/>
    <w:rsid w:val="00284C95"/>
    <w:rsid w:val="0028531A"/>
    <w:rsid w:val="00285446"/>
    <w:rsid w:val="00290082"/>
    <w:rsid w:val="00290D66"/>
    <w:rsid w:val="00295593"/>
    <w:rsid w:val="002978DC"/>
    <w:rsid w:val="002A0FCA"/>
    <w:rsid w:val="002A354F"/>
    <w:rsid w:val="002A386C"/>
    <w:rsid w:val="002A54D3"/>
    <w:rsid w:val="002B09DF"/>
    <w:rsid w:val="002B19FE"/>
    <w:rsid w:val="002B2D7F"/>
    <w:rsid w:val="002B4C46"/>
    <w:rsid w:val="002B540D"/>
    <w:rsid w:val="002B7A7E"/>
    <w:rsid w:val="002C226E"/>
    <w:rsid w:val="002C30BC"/>
    <w:rsid w:val="002C50E5"/>
    <w:rsid w:val="002C5965"/>
    <w:rsid w:val="002C5E15"/>
    <w:rsid w:val="002C6EFA"/>
    <w:rsid w:val="002C7A88"/>
    <w:rsid w:val="002C7AB9"/>
    <w:rsid w:val="002D0964"/>
    <w:rsid w:val="002D232B"/>
    <w:rsid w:val="002D2759"/>
    <w:rsid w:val="002D494D"/>
    <w:rsid w:val="002D5E00"/>
    <w:rsid w:val="002D6DAC"/>
    <w:rsid w:val="002E261D"/>
    <w:rsid w:val="002E2963"/>
    <w:rsid w:val="002E3FAD"/>
    <w:rsid w:val="002E4213"/>
    <w:rsid w:val="002E4E16"/>
    <w:rsid w:val="002E7A41"/>
    <w:rsid w:val="002F0276"/>
    <w:rsid w:val="002F6D4B"/>
    <w:rsid w:val="002F6DAC"/>
    <w:rsid w:val="00301623"/>
    <w:rsid w:val="00301E8C"/>
    <w:rsid w:val="00303FDF"/>
    <w:rsid w:val="00307DDD"/>
    <w:rsid w:val="003143C9"/>
    <w:rsid w:val="003146E9"/>
    <w:rsid w:val="0031498F"/>
    <w:rsid w:val="00314D5D"/>
    <w:rsid w:val="0031571D"/>
    <w:rsid w:val="00320009"/>
    <w:rsid w:val="0032424A"/>
    <w:rsid w:val="003245D3"/>
    <w:rsid w:val="00327455"/>
    <w:rsid w:val="00330AA3"/>
    <w:rsid w:val="00331584"/>
    <w:rsid w:val="00331964"/>
    <w:rsid w:val="00331E36"/>
    <w:rsid w:val="00334987"/>
    <w:rsid w:val="00335A50"/>
    <w:rsid w:val="0033718D"/>
    <w:rsid w:val="00337964"/>
    <w:rsid w:val="0034080C"/>
    <w:rsid w:val="00340C69"/>
    <w:rsid w:val="00341DE0"/>
    <w:rsid w:val="00342E34"/>
    <w:rsid w:val="00345F17"/>
    <w:rsid w:val="00350D3D"/>
    <w:rsid w:val="00352218"/>
    <w:rsid w:val="00354955"/>
    <w:rsid w:val="0036535A"/>
    <w:rsid w:val="00371CF1"/>
    <w:rsid w:val="0037222D"/>
    <w:rsid w:val="00373128"/>
    <w:rsid w:val="00374850"/>
    <w:rsid w:val="003750C1"/>
    <w:rsid w:val="003802A5"/>
    <w:rsid w:val="0038051E"/>
    <w:rsid w:val="00380AF7"/>
    <w:rsid w:val="0038723D"/>
    <w:rsid w:val="00387921"/>
    <w:rsid w:val="00393251"/>
    <w:rsid w:val="00394A05"/>
    <w:rsid w:val="00397770"/>
    <w:rsid w:val="00397880"/>
    <w:rsid w:val="003A054C"/>
    <w:rsid w:val="003A6070"/>
    <w:rsid w:val="003A7016"/>
    <w:rsid w:val="003B0C08"/>
    <w:rsid w:val="003B150E"/>
    <w:rsid w:val="003B35D2"/>
    <w:rsid w:val="003C17A5"/>
    <w:rsid w:val="003C1843"/>
    <w:rsid w:val="003C336B"/>
    <w:rsid w:val="003C7B4F"/>
    <w:rsid w:val="003D1552"/>
    <w:rsid w:val="003E0564"/>
    <w:rsid w:val="003E381F"/>
    <w:rsid w:val="003E4046"/>
    <w:rsid w:val="003F003A"/>
    <w:rsid w:val="003F125B"/>
    <w:rsid w:val="003F30E3"/>
    <w:rsid w:val="003F4044"/>
    <w:rsid w:val="003F5E12"/>
    <w:rsid w:val="003F7B3F"/>
    <w:rsid w:val="00400796"/>
    <w:rsid w:val="0040409C"/>
    <w:rsid w:val="004058AD"/>
    <w:rsid w:val="00406BBE"/>
    <w:rsid w:val="0041078D"/>
    <w:rsid w:val="0041464A"/>
    <w:rsid w:val="00416F97"/>
    <w:rsid w:val="0042000D"/>
    <w:rsid w:val="0042039F"/>
    <w:rsid w:val="00425173"/>
    <w:rsid w:val="0043039B"/>
    <w:rsid w:val="00430520"/>
    <w:rsid w:val="00432ED0"/>
    <w:rsid w:val="00436197"/>
    <w:rsid w:val="00436BC7"/>
    <w:rsid w:val="004423FE"/>
    <w:rsid w:val="00442453"/>
    <w:rsid w:val="00442D98"/>
    <w:rsid w:val="0044301E"/>
    <w:rsid w:val="00443A56"/>
    <w:rsid w:val="004455AA"/>
    <w:rsid w:val="00445C35"/>
    <w:rsid w:val="00451C0D"/>
    <w:rsid w:val="00454B41"/>
    <w:rsid w:val="0045663A"/>
    <w:rsid w:val="004630B5"/>
    <w:rsid w:val="0046344E"/>
    <w:rsid w:val="00463BA3"/>
    <w:rsid w:val="004667E7"/>
    <w:rsid w:val="004672CF"/>
    <w:rsid w:val="00470DEF"/>
    <w:rsid w:val="00471691"/>
    <w:rsid w:val="0047467F"/>
    <w:rsid w:val="00475797"/>
    <w:rsid w:val="00476D0A"/>
    <w:rsid w:val="00490288"/>
    <w:rsid w:val="00491024"/>
    <w:rsid w:val="004919FD"/>
    <w:rsid w:val="0049253B"/>
    <w:rsid w:val="00494B22"/>
    <w:rsid w:val="00495469"/>
    <w:rsid w:val="00496E81"/>
    <w:rsid w:val="004A140B"/>
    <w:rsid w:val="004A2974"/>
    <w:rsid w:val="004A4B47"/>
    <w:rsid w:val="004A765D"/>
    <w:rsid w:val="004A7B98"/>
    <w:rsid w:val="004A7EDD"/>
    <w:rsid w:val="004B0EC9"/>
    <w:rsid w:val="004B7BAA"/>
    <w:rsid w:val="004C2DF7"/>
    <w:rsid w:val="004C4E0B"/>
    <w:rsid w:val="004D13F3"/>
    <w:rsid w:val="004D497E"/>
    <w:rsid w:val="004D5AA7"/>
    <w:rsid w:val="004E2A05"/>
    <w:rsid w:val="004E40EA"/>
    <w:rsid w:val="004E4809"/>
    <w:rsid w:val="004E4CC3"/>
    <w:rsid w:val="004E5197"/>
    <w:rsid w:val="004E5985"/>
    <w:rsid w:val="004E6352"/>
    <w:rsid w:val="004E6460"/>
    <w:rsid w:val="004E7270"/>
    <w:rsid w:val="004E72E9"/>
    <w:rsid w:val="004E7337"/>
    <w:rsid w:val="004F4F0A"/>
    <w:rsid w:val="004F6B46"/>
    <w:rsid w:val="0050425E"/>
    <w:rsid w:val="00506DCF"/>
    <w:rsid w:val="00507E45"/>
    <w:rsid w:val="00511999"/>
    <w:rsid w:val="005145D6"/>
    <w:rsid w:val="0052100C"/>
    <w:rsid w:val="00521EA5"/>
    <w:rsid w:val="00522F2A"/>
    <w:rsid w:val="00525B80"/>
    <w:rsid w:val="0053098F"/>
    <w:rsid w:val="00531FCB"/>
    <w:rsid w:val="0053532F"/>
    <w:rsid w:val="00536B2E"/>
    <w:rsid w:val="00544470"/>
    <w:rsid w:val="0054462B"/>
    <w:rsid w:val="00546D8E"/>
    <w:rsid w:val="00553738"/>
    <w:rsid w:val="00553A78"/>
    <w:rsid w:val="00553F7E"/>
    <w:rsid w:val="0056646F"/>
    <w:rsid w:val="00571AE1"/>
    <w:rsid w:val="00581B28"/>
    <w:rsid w:val="00582FE7"/>
    <w:rsid w:val="005859C2"/>
    <w:rsid w:val="005872E8"/>
    <w:rsid w:val="00592267"/>
    <w:rsid w:val="00593C7B"/>
    <w:rsid w:val="0059421F"/>
    <w:rsid w:val="005A136D"/>
    <w:rsid w:val="005A1D7D"/>
    <w:rsid w:val="005A635E"/>
    <w:rsid w:val="005A79D1"/>
    <w:rsid w:val="005B0AE2"/>
    <w:rsid w:val="005B1F2C"/>
    <w:rsid w:val="005B49C6"/>
    <w:rsid w:val="005B5F3C"/>
    <w:rsid w:val="005B7124"/>
    <w:rsid w:val="005C0804"/>
    <w:rsid w:val="005C3F93"/>
    <w:rsid w:val="005C41F2"/>
    <w:rsid w:val="005C4AF1"/>
    <w:rsid w:val="005C5AE5"/>
    <w:rsid w:val="005C6671"/>
    <w:rsid w:val="005D03D9"/>
    <w:rsid w:val="005D1EE8"/>
    <w:rsid w:val="005D3108"/>
    <w:rsid w:val="005D56AE"/>
    <w:rsid w:val="005D65CE"/>
    <w:rsid w:val="005D666D"/>
    <w:rsid w:val="005D694A"/>
    <w:rsid w:val="005E3A59"/>
    <w:rsid w:val="005F49CB"/>
    <w:rsid w:val="005F6F1A"/>
    <w:rsid w:val="005F7822"/>
    <w:rsid w:val="00602AE4"/>
    <w:rsid w:val="00602C8B"/>
    <w:rsid w:val="00604802"/>
    <w:rsid w:val="006057F7"/>
    <w:rsid w:val="00611C06"/>
    <w:rsid w:val="00612E31"/>
    <w:rsid w:val="00615AB0"/>
    <w:rsid w:val="00616247"/>
    <w:rsid w:val="0061778C"/>
    <w:rsid w:val="00625484"/>
    <w:rsid w:val="00626575"/>
    <w:rsid w:val="00631593"/>
    <w:rsid w:val="0063469C"/>
    <w:rsid w:val="00636B90"/>
    <w:rsid w:val="00641227"/>
    <w:rsid w:val="006440FD"/>
    <w:rsid w:val="00646CAF"/>
    <w:rsid w:val="0064738B"/>
    <w:rsid w:val="00647538"/>
    <w:rsid w:val="00650799"/>
    <w:rsid w:val="006508EA"/>
    <w:rsid w:val="00651BAA"/>
    <w:rsid w:val="006525E0"/>
    <w:rsid w:val="006555D6"/>
    <w:rsid w:val="00657011"/>
    <w:rsid w:val="00663EF7"/>
    <w:rsid w:val="00667231"/>
    <w:rsid w:val="00667E86"/>
    <w:rsid w:val="00677FC0"/>
    <w:rsid w:val="0068392D"/>
    <w:rsid w:val="00684292"/>
    <w:rsid w:val="0068541D"/>
    <w:rsid w:val="0069026B"/>
    <w:rsid w:val="00690A57"/>
    <w:rsid w:val="00690F53"/>
    <w:rsid w:val="00697DB5"/>
    <w:rsid w:val="006A1B33"/>
    <w:rsid w:val="006A1EF4"/>
    <w:rsid w:val="006A492A"/>
    <w:rsid w:val="006A59A8"/>
    <w:rsid w:val="006B5C72"/>
    <w:rsid w:val="006B7C5A"/>
    <w:rsid w:val="006C289D"/>
    <w:rsid w:val="006C447D"/>
    <w:rsid w:val="006C4B13"/>
    <w:rsid w:val="006C6988"/>
    <w:rsid w:val="006D0275"/>
    <w:rsid w:val="006D0310"/>
    <w:rsid w:val="006D2009"/>
    <w:rsid w:val="006D5576"/>
    <w:rsid w:val="006E6FA5"/>
    <w:rsid w:val="006E766D"/>
    <w:rsid w:val="006F1963"/>
    <w:rsid w:val="006F4B29"/>
    <w:rsid w:val="006F6CE9"/>
    <w:rsid w:val="0070517C"/>
    <w:rsid w:val="00705C9F"/>
    <w:rsid w:val="0071554B"/>
    <w:rsid w:val="00716951"/>
    <w:rsid w:val="00720F6B"/>
    <w:rsid w:val="007226BE"/>
    <w:rsid w:val="00730ADA"/>
    <w:rsid w:val="00732330"/>
    <w:rsid w:val="00732C37"/>
    <w:rsid w:val="00735D9E"/>
    <w:rsid w:val="00743C2A"/>
    <w:rsid w:val="00745A09"/>
    <w:rsid w:val="00751EAF"/>
    <w:rsid w:val="00754CF7"/>
    <w:rsid w:val="007559CE"/>
    <w:rsid w:val="0075610B"/>
    <w:rsid w:val="00757B0D"/>
    <w:rsid w:val="00761320"/>
    <w:rsid w:val="00761376"/>
    <w:rsid w:val="00761647"/>
    <w:rsid w:val="007623BE"/>
    <w:rsid w:val="0076410D"/>
    <w:rsid w:val="0076444E"/>
    <w:rsid w:val="007651B1"/>
    <w:rsid w:val="007666EB"/>
    <w:rsid w:val="00767CE1"/>
    <w:rsid w:val="00770D3C"/>
    <w:rsid w:val="00771A68"/>
    <w:rsid w:val="00773E9F"/>
    <w:rsid w:val="007744D2"/>
    <w:rsid w:val="007755F7"/>
    <w:rsid w:val="007767A5"/>
    <w:rsid w:val="00784300"/>
    <w:rsid w:val="00786136"/>
    <w:rsid w:val="00794EB4"/>
    <w:rsid w:val="007A2273"/>
    <w:rsid w:val="007A6001"/>
    <w:rsid w:val="007A6F6B"/>
    <w:rsid w:val="007B0378"/>
    <w:rsid w:val="007B05CF"/>
    <w:rsid w:val="007B118E"/>
    <w:rsid w:val="007B4BF3"/>
    <w:rsid w:val="007B58B0"/>
    <w:rsid w:val="007C212A"/>
    <w:rsid w:val="007C2A7F"/>
    <w:rsid w:val="007C6C3D"/>
    <w:rsid w:val="007D5B3C"/>
    <w:rsid w:val="007D6431"/>
    <w:rsid w:val="007E7D21"/>
    <w:rsid w:val="007E7DBD"/>
    <w:rsid w:val="007F381F"/>
    <w:rsid w:val="007F46D9"/>
    <w:rsid w:val="007F482F"/>
    <w:rsid w:val="007F6ABE"/>
    <w:rsid w:val="007F7C94"/>
    <w:rsid w:val="00802016"/>
    <w:rsid w:val="0080215C"/>
    <w:rsid w:val="008035B5"/>
    <w:rsid w:val="0080398D"/>
    <w:rsid w:val="00805174"/>
    <w:rsid w:val="00806385"/>
    <w:rsid w:val="00806E25"/>
    <w:rsid w:val="00807CC5"/>
    <w:rsid w:val="00807ED7"/>
    <w:rsid w:val="00810785"/>
    <w:rsid w:val="00810C51"/>
    <w:rsid w:val="00811E10"/>
    <w:rsid w:val="00811F08"/>
    <w:rsid w:val="00811F39"/>
    <w:rsid w:val="00814CC6"/>
    <w:rsid w:val="00816E79"/>
    <w:rsid w:val="0082224C"/>
    <w:rsid w:val="00825F27"/>
    <w:rsid w:val="00826D53"/>
    <w:rsid w:val="008273AA"/>
    <w:rsid w:val="008279AA"/>
    <w:rsid w:val="00831751"/>
    <w:rsid w:val="008331BB"/>
    <w:rsid w:val="00833369"/>
    <w:rsid w:val="00835310"/>
    <w:rsid w:val="00835B42"/>
    <w:rsid w:val="008361A4"/>
    <w:rsid w:val="00836B92"/>
    <w:rsid w:val="00836FFC"/>
    <w:rsid w:val="00842A4E"/>
    <w:rsid w:val="00844DB2"/>
    <w:rsid w:val="008457F1"/>
    <w:rsid w:val="00845D74"/>
    <w:rsid w:val="00846D31"/>
    <w:rsid w:val="00847D99"/>
    <w:rsid w:val="0085038E"/>
    <w:rsid w:val="0085230A"/>
    <w:rsid w:val="00855757"/>
    <w:rsid w:val="00857B55"/>
    <w:rsid w:val="00860B9A"/>
    <w:rsid w:val="0086271D"/>
    <w:rsid w:val="0086420B"/>
    <w:rsid w:val="00864CC5"/>
    <w:rsid w:val="00864DBF"/>
    <w:rsid w:val="00865AE2"/>
    <w:rsid w:val="008663C8"/>
    <w:rsid w:val="0088163A"/>
    <w:rsid w:val="00884776"/>
    <w:rsid w:val="00893099"/>
    <w:rsid w:val="00893376"/>
    <w:rsid w:val="0089601F"/>
    <w:rsid w:val="008970B8"/>
    <w:rsid w:val="008A433A"/>
    <w:rsid w:val="008A648C"/>
    <w:rsid w:val="008A7313"/>
    <w:rsid w:val="008A7708"/>
    <w:rsid w:val="008A7D91"/>
    <w:rsid w:val="008B7FC7"/>
    <w:rsid w:val="008C4030"/>
    <w:rsid w:val="008C4337"/>
    <w:rsid w:val="008C4F06"/>
    <w:rsid w:val="008C504D"/>
    <w:rsid w:val="008C5525"/>
    <w:rsid w:val="008C6EA8"/>
    <w:rsid w:val="008D0C90"/>
    <w:rsid w:val="008D20C8"/>
    <w:rsid w:val="008D4CC5"/>
    <w:rsid w:val="008E103F"/>
    <w:rsid w:val="008E1E4A"/>
    <w:rsid w:val="008F0615"/>
    <w:rsid w:val="008F103E"/>
    <w:rsid w:val="008F1FDB"/>
    <w:rsid w:val="008F36FB"/>
    <w:rsid w:val="00902363"/>
    <w:rsid w:val="00902EA9"/>
    <w:rsid w:val="00903B1E"/>
    <w:rsid w:val="0090427F"/>
    <w:rsid w:val="00905B63"/>
    <w:rsid w:val="00910057"/>
    <w:rsid w:val="009100B2"/>
    <w:rsid w:val="00912F15"/>
    <w:rsid w:val="00913E00"/>
    <w:rsid w:val="00916DE9"/>
    <w:rsid w:val="00920506"/>
    <w:rsid w:val="0092169A"/>
    <w:rsid w:val="00927E67"/>
    <w:rsid w:val="00931DEB"/>
    <w:rsid w:val="00933957"/>
    <w:rsid w:val="009356FA"/>
    <w:rsid w:val="00942A77"/>
    <w:rsid w:val="0094603B"/>
    <w:rsid w:val="009504A1"/>
    <w:rsid w:val="00950605"/>
    <w:rsid w:val="00952233"/>
    <w:rsid w:val="00952347"/>
    <w:rsid w:val="0095381A"/>
    <w:rsid w:val="00954BD9"/>
    <w:rsid w:val="00954D66"/>
    <w:rsid w:val="00963F8F"/>
    <w:rsid w:val="00964E86"/>
    <w:rsid w:val="00973C62"/>
    <w:rsid w:val="00975D76"/>
    <w:rsid w:val="00975FEE"/>
    <w:rsid w:val="00982E51"/>
    <w:rsid w:val="0098413C"/>
    <w:rsid w:val="009874B9"/>
    <w:rsid w:val="0099074A"/>
    <w:rsid w:val="009917B9"/>
    <w:rsid w:val="00993581"/>
    <w:rsid w:val="00993C1C"/>
    <w:rsid w:val="009964F2"/>
    <w:rsid w:val="009A0A19"/>
    <w:rsid w:val="009A1DAE"/>
    <w:rsid w:val="009A288C"/>
    <w:rsid w:val="009A482E"/>
    <w:rsid w:val="009A56F5"/>
    <w:rsid w:val="009A64C1"/>
    <w:rsid w:val="009B0CB3"/>
    <w:rsid w:val="009B3A73"/>
    <w:rsid w:val="009B6697"/>
    <w:rsid w:val="009C2B43"/>
    <w:rsid w:val="009C2EA4"/>
    <w:rsid w:val="009C4C04"/>
    <w:rsid w:val="009C70A0"/>
    <w:rsid w:val="009D1493"/>
    <w:rsid w:val="009D5213"/>
    <w:rsid w:val="009E0F85"/>
    <w:rsid w:val="009E1C95"/>
    <w:rsid w:val="009E2594"/>
    <w:rsid w:val="009F196A"/>
    <w:rsid w:val="009F669B"/>
    <w:rsid w:val="009F7566"/>
    <w:rsid w:val="009F7F18"/>
    <w:rsid w:val="00A01D7A"/>
    <w:rsid w:val="00A02A72"/>
    <w:rsid w:val="00A0452A"/>
    <w:rsid w:val="00A06BFE"/>
    <w:rsid w:val="00A10F5D"/>
    <w:rsid w:val="00A1199A"/>
    <w:rsid w:val="00A1243C"/>
    <w:rsid w:val="00A135AE"/>
    <w:rsid w:val="00A14AF1"/>
    <w:rsid w:val="00A16891"/>
    <w:rsid w:val="00A2003F"/>
    <w:rsid w:val="00A268CE"/>
    <w:rsid w:val="00A332E8"/>
    <w:rsid w:val="00A35AF5"/>
    <w:rsid w:val="00A35DDF"/>
    <w:rsid w:val="00A366A9"/>
    <w:rsid w:val="00A36CBA"/>
    <w:rsid w:val="00A37C95"/>
    <w:rsid w:val="00A432CD"/>
    <w:rsid w:val="00A45741"/>
    <w:rsid w:val="00A47EF6"/>
    <w:rsid w:val="00A50291"/>
    <w:rsid w:val="00A504D1"/>
    <w:rsid w:val="00A50736"/>
    <w:rsid w:val="00A530E4"/>
    <w:rsid w:val="00A6023B"/>
    <w:rsid w:val="00A604CD"/>
    <w:rsid w:val="00A60FE6"/>
    <w:rsid w:val="00A622F5"/>
    <w:rsid w:val="00A6338B"/>
    <w:rsid w:val="00A654BE"/>
    <w:rsid w:val="00A65E14"/>
    <w:rsid w:val="00A6680E"/>
    <w:rsid w:val="00A66DD6"/>
    <w:rsid w:val="00A700E0"/>
    <w:rsid w:val="00A73C12"/>
    <w:rsid w:val="00A75018"/>
    <w:rsid w:val="00A7553D"/>
    <w:rsid w:val="00A75555"/>
    <w:rsid w:val="00A76F4C"/>
    <w:rsid w:val="00A771FD"/>
    <w:rsid w:val="00A80619"/>
    <w:rsid w:val="00A80767"/>
    <w:rsid w:val="00A81C90"/>
    <w:rsid w:val="00A83FED"/>
    <w:rsid w:val="00A84B75"/>
    <w:rsid w:val="00A850AB"/>
    <w:rsid w:val="00A874EF"/>
    <w:rsid w:val="00A95415"/>
    <w:rsid w:val="00A975AD"/>
    <w:rsid w:val="00AA3C89"/>
    <w:rsid w:val="00AA476F"/>
    <w:rsid w:val="00AA71EA"/>
    <w:rsid w:val="00AB32BD"/>
    <w:rsid w:val="00AB4723"/>
    <w:rsid w:val="00AB6CC5"/>
    <w:rsid w:val="00AC4CDB"/>
    <w:rsid w:val="00AC70FE"/>
    <w:rsid w:val="00AD3AA3"/>
    <w:rsid w:val="00AD4358"/>
    <w:rsid w:val="00AE426D"/>
    <w:rsid w:val="00AF4C2E"/>
    <w:rsid w:val="00AF61E1"/>
    <w:rsid w:val="00AF638A"/>
    <w:rsid w:val="00AF7356"/>
    <w:rsid w:val="00B00141"/>
    <w:rsid w:val="00B009AA"/>
    <w:rsid w:val="00B00ECE"/>
    <w:rsid w:val="00B030C8"/>
    <w:rsid w:val="00B039C0"/>
    <w:rsid w:val="00B03A09"/>
    <w:rsid w:val="00B056E7"/>
    <w:rsid w:val="00B05B71"/>
    <w:rsid w:val="00B10035"/>
    <w:rsid w:val="00B15C76"/>
    <w:rsid w:val="00B165E6"/>
    <w:rsid w:val="00B17F41"/>
    <w:rsid w:val="00B235DB"/>
    <w:rsid w:val="00B30A04"/>
    <w:rsid w:val="00B37770"/>
    <w:rsid w:val="00B424D9"/>
    <w:rsid w:val="00B447C0"/>
    <w:rsid w:val="00B47DEB"/>
    <w:rsid w:val="00B52510"/>
    <w:rsid w:val="00B53E53"/>
    <w:rsid w:val="00B548A2"/>
    <w:rsid w:val="00B552F6"/>
    <w:rsid w:val="00B56934"/>
    <w:rsid w:val="00B62F03"/>
    <w:rsid w:val="00B667B8"/>
    <w:rsid w:val="00B72444"/>
    <w:rsid w:val="00B760E7"/>
    <w:rsid w:val="00B7612F"/>
    <w:rsid w:val="00B801E0"/>
    <w:rsid w:val="00B821B7"/>
    <w:rsid w:val="00B84949"/>
    <w:rsid w:val="00B93A1F"/>
    <w:rsid w:val="00B93B62"/>
    <w:rsid w:val="00B93C95"/>
    <w:rsid w:val="00B953D1"/>
    <w:rsid w:val="00B96CA7"/>
    <w:rsid w:val="00B96D93"/>
    <w:rsid w:val="00BA30D0"/>
    <w:rsid w:val="00BA4856"/>
    <w:rsid w:val="00BA542E"/>
    <w:rsid w:val="00BA722C"/>
    <w:rsid w:val="00BB0D32"/>
    <w:rsid w:val="00BC133C"/>
    <w:rsid w:val="00BC27DC"/>
    <w:rsid w:val="00BC3095"/>
    <w:rsid w:val="00BC76B5"/>
    <w:rsid w:val="00BD2137"/>
    <w:rsid w:val="00BD2D8B"/>
    <w:rsid w:val="00BD5420"/>
    <w:rsid w:val="00BE0496"/>
    <w:rsid w:val="00BE06BF"/>
    <w:rsid w:val="00BE100F"/>
    <w:rsid w:val="00BE155D"/>
    <w:rsid w:val="00BF2F58"/>
    <w:rsid w:val="00BF4408"/>
    <w:rsid w:val="00BF5191"/>
    <w:rsid w:val="00C006C5"/>
    <w:rsid w:val="00C04BD2"/>
    <w:rsid w:val="00C11A1E"/>
    <w:rsid w:val="00C13EEC"/>
    <w:rsid w:val="00C14689"/>
    <w:rsid w:val="00C146EF"/>
    <w:rsid w:val="00C14E35"/>
    <w:rsid w:val="00C156A4"/>
    <w:rsid w:val="00C16113"/>
    <w:rsid w:val="00C1634C"/>
    <w:rsid w:val="00C16DAA"/>
    <w:rsid w:val="00C17A7E"/>
    <w:rsid w:val="00C20FAA"/>
    <w:rsid w:val="00C23509"/>
    <w:rsid w:val="00C23EFC"/>
    <w:rsid w:val="00C2459D"/>
    <w:rsid w:val="00C248F0"/>
    <w:rsid w:val="00C26FDF"/>
    <w:rsid w:val="00C2755A"/>
    <w:rsid w:val="00C316F1"/>
    <w:rsid w:val="00C3277B"/>
    <w:rsid w:val="00C35874"/>
    <w:rsid w:val="00C428E5"/>
    <w:rsid w:val="00C42C95"/>
    <w:rsid w:val="00C43F5D"/>
    <w:rsid w:val="00C4470F"/>
    <w:rsid w:val="00C455B6"/>
    <w:rsid w:val="00C506C5"/>
    <w:rsid w:val="00C50727"/>
    <w:rsid w:val="00C51A51"/>
    <w:rsid w:val="00C52DAC"/>
    <w:rsid w:val="00C53235"/>
    <w:rsid w:val="00C55E5B"/>
    <w:rsid w:val="00C62739"/>
    <w:rsid w:val="00C62BF8"/>
    <w:rsid w:val="00C65627"/>
    <w:rsid w:val="00C673F1"/>
    <w:rsid w:val="00C720A4"/>
    <w:rsid w:val="00C74F59"/>
    <w:rsid w:val="00C7611C"/>
    <w:rsid w:val="00C77EE7"/>
    <w:rsid w:val="00C80F80"/>
    <w:rsid w:val="00C8354B"/>
    <w:rsid w:val="00C85EE6"/>
    <w:rsid w:val="00C91B81"/>
    <w:rsid w:val="00C94097"/>
    <w:rsid w:val="00C9537C"/>
    <w:rsid w:val="00C96B76"/>
    <w:rsid w:val="00CA3888"/>
    <w:rsid w:val="00CA3E27"/>
    <w:rsid w:val="00CA4269"/>
    <w:rsid w:val="00CA48CA"/>
    <w:rsid w:val="00CA72A1"/>
    <w:rsid w:val="00CA7330"/>
    <w:rsid w:val="00CB0E86"/>
    <w:rsid w:val="00CB1C84"/>
    <w:rsid w:val="00CB3E86"/>
    <w:rsid w:val="00CB5363"/>
    <w:rsid w:val="00CB64F0"/>
    <w:rsid w:val="00CC1F82"/>
    <w:rsid w:val="00CC2909"/>
    <w:rsid w:val="00CC47B3"/>
    <w:rsid w:val="00CC71B0"/>
    <w:rsid w:val="00CD0549"/>
    <w:rsid w:val="00CD2008"/>
    <w:rsid w:val="00CD2ECF"/>
    <w:rsid w:val="00CE6B3C"/>
    <w:rsid w:val="00CF05B5"/>
    <w:rsid w:val="00CF1FE2"/>
    <w:rsid w:val="00CF36E0"/>
    <w:rsid w:val="00CF5D5A"/>
    <w:rsid w:val="00CF7BE2"/>
    <w:rsid w:val="00D00573"/>
    <w:rsid w:val="00D05E6F"/>
    <w:rsid w:val="00D160AB"/>
    <w:rsid w:val="00D16766"/>
    <w:rsid w:val="00D20296"/>
    <w:rsid w:val="00D20643"/>
    <w:rsid w:val="00D2231A"/>
    <w:rsid w:val="00D276BD"/>
    <w:rsid w:val="00D27929"/>
    <w:rsid w:val="00D318AD"/>
    <w:rsid w:val="00D33442"/>
    <w:rsid w:val="00D410D1"/>
    <w:rsid w:val="00D419C6"/>
    <w:rsid w:val="00D44BAD"/>
    <w:rsid w:val="00D45244"/>
    <w:rsid w:val="00D45B55"/>
    <w:rsid w:val="00D4785A"/>
    <w:rsid w:val="00D47927"/>
    <w:rsid w:val="00D52E43"/>
    <w:rsid w:val="00D53E0D"/>
    <w:rsid w:val="00D555B3"/>
    <w:rsid w:val="00D63FC9"/>
    <w:rsid w:val="00D664D7"/>
    <w:rsid w:val="00D67E1E"/>
    <w:rsid w:val="00D704FA"/>
    <w:rsid w:val="00D7097B"/>
    <w:rsid w:val="00D71123"/>
    <w:rsid w:val="00D7197D"/>
    <w:rsid w:val="00D72BC4"/>
    <w:rsid w:val="00D748B4"/>
    <w:rsid w:val="00D815FC"/>
    <w:rsid w:val="00D84885"/>
    <w:rsid w:val="00D84A51"/>
    <w:rsid w:val="00D8517B"/>
    <w:rsid w:val="00D8553D"/>
    <w:rsid w:val="00D861C9"/>
    <w:rsid w:val="00D9020A"/>
    <w:rsid w:val="00D91DFA"/>
    <w:rsid w:val="00D95117"/>
    <w:rsid w:val="00D95767"/>
    <w:rsid w:val="00DA0E5A"/>
    <w:rsid w:val="00DA159A"/>
    <w:rsid w:val="00DA4E94"/>
    <w:rsid w:val="00DA7D76"/>
    <w:rsid w:val="00DB1AB2"/>
    <w:rsid w:val="00DB22D1"/>
    <w:rsid w:val="00DB3D38"/>
    <w:rsid w:val="00DC102D"/>
    <w:rsid w:val="00DC17C2"/>
    <w:rsid w:val="00DC1EF0"/>
    <w:rsid w:val="00DC24CE"/>
    <w:rsid w:val="00DC4FDF"/>
    <w:rsid w:val="00DC543D"/>
    <w:rsid w:val="00DC66F0"/>
    <w:rsid w:val="00DD3105"/>
    <w:rsid w:val="00DD3A65"/>
    <w:rsid w:val="00DD4FE5"/>
    <w:rsid w:val="00DD53FD"/>
    <w:rsid w:val="00DD62C6"/>
    <w:rsid w:val="00DD67E2"/>
    <w:rsid w:val="00DE3B92"/>
    <w:rsid w:val="00DE48B4"/>
    <w:rsid w:val="00DE5ACA"/>
    <w:rsid w:val="00DE7137"/>
    <w:rsid w:val="00DF0BF7"/>
    <w:rsid w:val="00DF18E4"/>
    <w:rsid w:val="00E00498"/>
    <w:rsid w:val="00E01557"/>
    <w:rsid w:val="00E02FB1"/>
    <w:rsid w:val="00E11197"/>
    <w:rsid w:val="00E13086"/>
    <w:rsid w:val="00E1464C"/>
    <w:rsid w:val="00E14ADB"/>
    <w:rsid w:val="00E20266"/>
    <w:rsid w:val="00E22F78"/>
    <w:rsid w:val="00E2425D"/>
    <w:rsid w:val="00E24F87"/>
    <w:rsid w:val="00E2617A"/>
    <w:rsid w:val="00E273FB"/>
    <w:rsid w:val="00E31CD4"/>
    <w:rsid w:val="00E33AE9"/>
    <w:rsid w:val="00E47F93"/>
    <w:rsid w:val="00E50564"/>
    <w:rsid w:val="00E525D2"/>
    <w:rsid w:val="00E538E6"/>
    <w:rsid w:val="00E56696"/>
    <w:rsid w:val="00E566A7"/>
    <w:rsid w:val="00E56B4A"/>
    <w:rsid w:val="00E71C21"/>
    <w:rsid w:val="00E726AF"/>
    <w:rsid w:val="00E74332"/>
    <w:rsid w:val="00E7477B"/>
    <w:rsid w:val="00E768A9"/>
    <w:rsid w:val="00E77399"/>
    <w:rsid w:val="00E802A2"/>
    <w:rsid w:val="00E833E9"/>
    <w:rsid w:val="00E8410F"/>
    <w:rsid w:val="00E85C0B"/>
    <w:rsid w:val="00E86C24"/>
    <w:rsid w:val="00E9718A"/>
    <w:rsid w:val="00E971C2"/>
    <w:rsid w:val="00E977AD"/>
    <w:rsid w:val="00EA343F"/>
    <w:rsid w:val="00EA7089"/>
    <w:rsid w:val="00EB0ADE"/>
    <w:rsid w:val="00EB13D7"/>
    <w:rsid w:val="00EB1E83"/>
    <w:rsid w:val="00EC4DF2"/>
    <w:rsid w:val="00EC59DC"/>
    <w:rsid w:val="00ED1BF5"/>
    <w:rsid w:val="00ED22CB"/>
    <w:rsid w:val="00ED4BB1"/>
    <w:rsid w:val="00ED67AF"/>
    <w:rsid w:val="00ED7A7D"/>
    <w:rsid w:val="00EE031B"/>
    <w:rsid w:val="00EE11F0"/>
    <w:rsid w:val="00EE128C"/>
    <w:rsid w:val="00EE20E9"/>
    <w:rsid w:val="00EE4C48"/>
    <w:rsid w:val="00EE52DB"/>
    <w:rsid w:val="00EE5D2E"/>
    <w:rsid w:val="00EE7E6F"/>
    <w:rsid w:val="00EF0A2A"/>
    <w:rsid w:val="00EF0B56"/>
    <w:rsid w:val="00EF1596"/>
    <w:rsid w:val="00EF57CB"/>
    <w:rsid w:val="00EF66D9"/>
    <w:rsid w:val="00EF68E3"/>
    <w:rsid w:val="00EF6BA5"/>
    <w:rsid w:val="00EF73E2"/>
    <w:rsid w:val="00EF780D"/>
    <w:rsid w:val="00EF7A98"/>
    <w:rsid w:val="00EF7C9B"/>
    <w:rsid w:val="00F01D28"/>
    <w:rsid w:val="00F0267E"/>
    <w:rsid w:val="00F03334"/>
    <w:rsid w:val="00F06A45"/>
    <w:rsid w:val="00F071B2"/>
    <w:rsid w:val="00F11069"/>
    <w:rsid w:val="00F11B47"/>
    <w:rsid w:val="00F1269F"/>
    <w:rsid w:val="00F13757"/>
    <w:rsid w:val="00F235FA"/>
    <w:rsid w:val="00F2412D"/>
    <w:rsid w:val="00F24E30"/>
    <w:rsid w:val="00F25D8D"/>
    <w:rsid w:val="00F3069C"/>
    <w:rsid w:val="00F33CF9"/>
    <w:rsid w:val="00F3603E"/>
    <w:rsid w:val="00F40EBA"/>
    <w:rsid w:val="00F44CCB"/>
    <w:rsid w:val="00F45360"/>
    <w:rsid w:val="00F45424"/>
    <w:rsid w:val="00F474C9"/>
    <w:rsid w:val="00F5126B"/>
    <w:rsid w:val="00F54EA3"/>
    <w:rsid w:val="00F55944"/>
    <w:rsid w:val="00F56A86"/>
    <w:rsid w:val="00F60102"/>
    <w:rsid w:val="00F60552"/>
    <w:rsid w:val="00F61675"/>
    <w:rsid w:val="00F65009"/>
    <w:rsid w:val="00F6686B"/>
    <w:rsid w:val="00F67719"/>
    <w:rsid w:val="00F67F74"/>
    <w:rsid w:val="00F712B3"/>
    <w:rsid w:val="00F71E9F"/>
    <w:rsid w:val="00F72204"/>
    <w:rsid w:val="00F73DE3"/>
    <w:rsid w:val="00F744BF"/>
    <w:rsid w:val="00F7632C"/>
    <w:rsid w:val="00F77219"/>
    <w:rsid w:val="00F806CD"/>
    <w:rsid w:val="00F81BA7"/>
    <w:rsid w:val="00F84DD2"/>
    <w:rsid w:val="00F85A33"/>
    <w:rsid w:val="00F95439"/>
    <w:rsid w:val="00FA5929"/>
    <w:rsid w:val="00FA7416"/>
    <w:rsid w:val="00FB0872"/>
    <w:rsid w:val="00FB0BDC"/>
    <w:rsid w:val="00FB54CC"/>
    <w:rsid w:val="00FC0E80"/>
    <w:rsid w:val="00FD1A37"/>
    <w:rsid w:val="00FD1EA4"/>
    <w:rsid w:val="00FD471E"/>
    <w:rsid w:val="00FD48CD"/>
    <w:rsid w:val="00FD4E5B"/>
    <w:rsid w:val="00FD73CA"/>
    <w:rsid w:val="00FD7E0B"/>
    <w:rsid w:val="00FE0FD1"/>
    <w:rsid w:val="00FE3F4A"/>
    <w:rsid w:val="00FE4EE0"/>
    <w:rsid w:val="00FF0DF6"/>
    <w:rsid w:val="00FF0F9A"/>
    <w:rsid w:val="00FF196F"/>
    <w:rsid w:val="00FF56A3"/>
    <w:rsid w:val="00FF582E"/>
    <w:rsid w:val="00FF690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CCA16"/>
  <w15:docId w15:val="{E0F399DE-9C09-4CFB-BBA4-BA25498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F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DF0BF7"/>
    <w:pPr>
      <w:ind w:left="720"/>
      <w:contextualSpacing/>
    </w:pPr>
  </w:style>
  <w:style w:type="character" w:customStyle="1" w:styleId="FooterChar">
    <w:name w:val="Footer Char"/>
    <w:basedOn w:val="DefaultParagraphFont"/>
    <w:link w:val="Footer"/>
    <w:uiPriority w:val="99"/>
    <w:rsid w:val="006A1EF4"/>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20012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mo.int/activities/monitoring-and-evaluation-merp/early-warnings-all-dashboa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mo.int/files/early-warnings-all-focus-hazard-monitoring-and-forecast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drr.org/publication/multi-hazard-early-warning-system-custom-indicators-methodologies-computation" TargetMode="External"/><Relationship Id="rId2" Type="http://schemas.openxmlformats.org/officeDocument/2006/relationships/hyperlink" Target="https://www.cdema.org/ews/risk-knowledge-mobile/category/78-multi-hazard-early-warning-systems-a-checklist" TargetMode="External"/><Relationship Id="rId1" Type="http://schemas.openxmlformats.org/officeDocument/2006/relationships/hyperlink" Target="https://library.wmo.int/records/item/55893-multi-hazard-early-warning-systems-a-checklist?offset=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wmoomm.sharepoint.com/sites/CSG/Shared%20Documents/MERP/EWS/Report/Submissions-EW4All-Analysis-a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Pivot_Analysis_Scores!$P$78</c:f>
              <c:strCache>
                <c:ptCount val="1"/>
                <c:pt idx="0">
                  <c:v>1: Less than basic</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Verdana" panose="020B0604030504040204" pitchFamily="34" charset="0"/>
                    <a:ea typeface="Verdana" panose="020B0604030504040204" pitchFamily="34" charset="0"/>
                    <a:cs typeface="+mn-cs"/>
                  </a:defRPr>
                </a:pPr>
                <a:endParaRPr lang="en-C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Pivot_Analysis_Scores!$Q$77:$Y$77</c:f>
              <c:strCache>
                <c:ptCount val="9"/>
                <c:pt idx="0">
                  <c:v>Overall capacity level</c:v>
                </c:pt>
                <c:pt idx="1">
                  <c:v>Legal framework and institutional mechanisms</c:v>
                </c:pt>
                <c:pt idx="2">
                  <c:v>Observational infrastructure</c:v>
                </c:pt>
                <c:pt idx="3">
                  <c:v>Hazard monitoring</c:v>
                </c:pt>
                <c:pt idx="4">
                  <c:v>Remote-sensing data</c:v>
                </c:pt>
                <c:pt idx="5">
                  <c:v>NWP model and forecasting tool application</c:v>
                </c:pt>
                <c:pt idx="6">
                  <c:v>Impact-based forecasting</c:v>
                </c:pt>
                <c:pt idx="7">
                  <c:v>Warning services and MHEWS operations</c:v>
                </c:pt>
                <c:pt idx="8">
                  <c:v>Financial and technical enablers</c:v>
                </c:pt>
              </c:strCache>
            </c:strRef>
          </c:cat>
          <c:val>
            <c:numRef>
              <c:f>Pivot_Analysis_Scores!$Q$78:$Y$78</c:f>
              <c:numCache>
                <c:formatCode>0%</c:formatCode>
                <c:ptCount val="9"/>
                <c:pt idx="0">
                  <c:v>0.23333333333333334</c:v>
                </c:pt>
                <c:pt idx="1">
                  <c:v>0.13333333333333333</c:v>
                </c:pt>
                <c:pt idx="2">
                  <c:v>0.16666666666666666</c:v>
                </c:pt>
                <c:pt idx="3">
                  <c:v>0.46666666666666662</c:v>
                </c:pt>
                <c:pt idx="4">
                  <c:v>0.26666666666666666</c:v>
                </c:pt>
                <c:pt idx="5">
                  <c:v>0.16666666666666666</c:v>
                </c:pt>
                <c:pt idx="6">
                  <c:v>0.73333333333333328</c:v>
                </c:pt>
                <c:pt idx="7">
                  <c:v>0.33333333333333331</c:v>
                </c:pt>
                <c:pt idx="8">
                  <c:v>0.3666666666666667</c:v>
                </c:pt>
              </c:numCache>
            </c:numRef>
          </c:val>
          <c:extLst>
            <c:ext xmlns:c16="http://schemas.microsoft.com/office/drawing/2014/chart" uri="{C3380CC4-5D6E-409C-BE32-E72D297353CC}">
              <c16:uniqueId val="{00000000-B827-4D84-BBC8-ECF086D301E6}"/>
            </c:ext>
          </c:extLst>
        </c:ser>
        <c:ser>
          <c:idx val="1"/>
          <c:order val="1"/>
          <c:tx>
            <c:strRef>
              <c:f>Pivot_Analysis_Scores!$P$79</c:f>
              <c:strCache>
                <c:ptCount val="1"/>
                <c:pt idx="0">
                  <c:v>2: Basic</c:v>
                </c:pt>
              </c:strCache>
            </c:strRef>
          </c:tx>
          <c:spPr>
            <a:solidFill>
              <a:srgbClr val="E6813D"/>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Verdana" panose="020B0604030504040204" pitchFamily="34" charset="0"/>
                    <a:ea typeface="Verdana" panose="020B0604030504040204" pitchFamily="34" charset="0"/>
                    <a:cs typeface="+mn-cs"/>
                  </a:defRPr>
                </a:pPr>
                <a:endParaRPr lang="en-C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Pivot_Analysis_Scores!$Q$77:$Y$77</c:f>
              <c:strCache>
                <c:ptCount val="9"/>
                <c:pt idx="0">
                  <c:v>Overall capacity level</c:v>
                </c:pt>
                <c:pt idx="1">
                  <c:v>Legal framework and institutional mechanisms</c:v>
                </c:pt>
                <c:pt idx="2">
                  <c:v>Observational infrastructure</c:v>
                </c:pt>
                <c:pt idx="3">
                  <c:v>Hazard monitoring</c:v>
                </c:pt>
                <c:pt idx="4">
                  <c:v>Remote-sensing data</c:v>
                </c:pt>
                <c:pt idx="5">
                  <c:v>NWP model and forecasting tool application</c:v>
                </c:pt>
                <c:pt idx="6">
                  <c:v>Impact-based forecasting</c:v>
                </c:pt>
                <c:pt idx="7">
                  <c:v>Warning services and MHEWS operations</c:v>
                </c:pt>
                <c:pt idx="8">
                  <c:v>Financial and technical enablers</c:v>
                </c:pt>
              </c:strCache>
            </c:strRef>
          </c:cat>
          <c:val>
            <c:numRef>
              <c:f>Pivot_Analysis_Scores!$Q$79:$Y$79</c:f>
              <c:numCache>
                <c:formatCode>0%</c:formatCode>
                <c:ptCount val="9"/>
                <c:pt idx="0">
                  <c:v>0.53333333333333333</c:v>
                </c:pt>
                <c:pt idx="1">
                  <c:v>0.23333333333333331</c:v>
                </c:pt>
                <c:pt idx="2">
                  <c:v>0.43333333333333335</c:v>
                </c:pt>
                <c:pt idx="3">
                  <c:v>0.46666666666666662</c:v>
                </c:pt>
                <c:pt idx="4">
                  <c:v>0.19999999999999998</c:v>
                </c:pt>
                <c:pt idx="5">
                  <c:v>0.33333333333333331</c:v>
                </c:pt>
                <c:pt idx="6">
                  <c:v>0.19999999999999998</c:v>
                </c:pt>
                <c:pt idx="7">
                  <c:v>0.3</c:v>
                </c:pt>
                <c:pt idx="8">
                  <c:v>0.26666666666666666</c:v>
                </c:pt>
              </c:numCache>
            </c:numRef>
          </c:val>
          <c:extLst>
            <c:ext xmlns:c16="http://schemas.microsoft.com/office/drawing/2014/chart" uri="{C3380CC4-5D6E-409C-BE32-E72D297353CC}">
              <c16:uniqueId val="{00000001-B827-4D84-BBC8-ECF086D301E6}"/>
            </c:ext>
          </c:extLst>
        </c:ser>
        <c:ser>
          <c:idx val="2"/>
          <c:order val="2"/>
          <c:tx>
            <c:strRef>
              <c:f>Pivot_Analysis_Scores!$P$80</c:f>
              <c:strCache>
                <c:ptCount val="1"/>
                <c:pt idx="0">
                  <c:v>3: Moderate</c:v>
                </c:pt>
              </c:strCache>
            </c:strRef>
          </c:tx>
          <c:spPr>
            <a:solidFill>
              <a:srgbClr val="FFD866"/>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en-C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Pivot_Analysis_Scores!$Q$77:$Y$77</c:f>
              <c:strCache>
                <c:ptCount val="9"/>
                <c:pt idx="0">
                  <c:v>Overall capacity level</c:v>
                </c:pt>
                <c:pt idx="1">
                  <c:v>Legal framework and institutional mechanisms</c:v>
                </c:pt>
                <c:pt idx="2">
                  <c:v>Observational infrastructure</c:v>
                </c:pt>
                <c:pt idx="3">
                  <c:v>Hazard monitoring</c:v>
                </c:pt>
                <c:pt idx="4">
                  <c:v>Remote-sensing data</c:v>
                </c:pt>
                <c:pt idx="5">
                  <c:v>NWP model and forecasting tool application</c:v>
                </c:pt>
                <c:pt idx="6">
                  <c:v>Impact-based forecasting</c:v>
                </c:pt>
                <c:pt idx="7">
                  <c:v>Warning services and MHEWS operations</c:v>
                </c:pt>
                <c:pt idx="8">
                  <c:v>Financial and technical enablers</c:v>
                </c:pt>
              </c:strCache>
            </c:strRef>
          </c:cat>
          <c:val>
            <c:numRef>
              <c:f>Pivot_Analysis_Scores!$Q$80:$Y$80</c:f>
              <c:numCache>
                <c:formatCode>0%</c:formatCode>
                <c:ptCount val="9"/>
                <c:pt idx="0">
                  <c:v>0.2</c:v>
                </c:pt>
                <c:pt idx="1">
                  <c:v>0.1</c:v>
                </c:pt>
                <c:pt idx="2">
                  <c:v>0.3</c:v>
                </c:pt>
                <c:pt idx="3">
                  <c:v>6.6666666666666666E-2</c:v>
                </c:pt>
                <c:pt idx="4">
                  <c:v>0.23333333333333334</c:v>
                </c:pt>
                <c:pt idx="5">
                  <c:v>0.23333333333333334</c:v>
                </c:pt>
                <c:pt idx="6">
                  <c:v>3.3333333333333333E-2</c:v>
                </c:pt>
                <c:pt idx="7">
                  <c:v>0.19999999999999998</c:v>
                </c:pt>
                <c:pt idx="8">
                  <c:v>6.6666666666666666E-2</c:v>
                </c:pt>
              </c:numCache>
            </c:numRef>
          </c:val>
          <c:extLst>
            <c:ext xmlns:c16="http://schemas.microsoft.com/office/drawing/2014/chart" uri="{C3380CC4-5D6E-409C-BE32-E72D297353CC}">
              <c16:uniqueId val="{00000002-B827-4D84-BBC8-ECF086D301E6}"/>
            </c:ext>
          </c:extLst>
        </c:ser>
        <c:ser>
          <c:idx val="3"/>
          <c:order val="3"/>
          <c:tx>
            <c:strRef>
              <c:f>Pivot_Analysis_Scores!$P$81</c:f>
              <c:strCache>
                <c:ptCount val="1"/>
                <c:pt idx="0">
                  <c:v>4: Comprehensive/adequate</c:v>
                </c:pt>
              </c:strCache>
            </c:strRef>
          </c:tx>
          <c:spPr>
            <a:solidFill>
              <a:srgbClr val="94C35A"/>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B827-4D84-BBC8-ECF086D301E6}"/>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Verdana" panose="020B0604030504040204" pitchFamily="34" charset="0"/>
                    <a:ea typeface="Verdana" panose="020B0604030504040204" pitchFamily="34" charset="0"/>
                    <a:cs typeface="+mn-cs"/>
                  </a:defRPr>
                </a:pPr>
                <a:endParaRPr lang="en-C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Pivot_Analysis_Scores!$Q$77:$Y$77</c:f>
              <c:strCache>
                <c:ptCount val="9"/>
                <c:pt idx="0">
                  <c:v>Overall capacity level</c:v>
                </c:pt>
                <c:pt idx="1">
                  <c:v>Legal framework and institutional mechanisms</c:v>
                </c:pt>
                <c:pt idx="2">
                  <c:v>Observational infrastructure</c:v>
                </c:pt>
                <c:pt idx="3">
                  <c:v>Hazard monitoring</c:v>
                </c:pt>
                <c:pt idx="4">
                  <c:v>Remote-sensing data</c:v>
                </c:pt>
                <c:pt idx="5">
                  <c:v>NWP model and forecasting tool application</c:v>
                </c:pt>
                <c:pt idx="6">
                  <c:v>Impact-based forecasting</c:v>
                </c:pt>
                <c:pt idx="7">
                  <c:v>Warning services and MHEWS operations</c:v>
                </c:pt>
                <c:pt idx="8">
                  <c:v>Financial and technical enablers</c:v>
                </c:pt>
              </c:strCache>
            </c:strRef>
          </c:cat>
          <c:val>
            <c:numRef>
              <c:f>Pivot_Analysis_Scores!$Q$81:$Y$81</c:f>
              <c:numCache>
                <c:formatCode>0%</c:formatCode>
                <c:ptCount val="9"/>
                <c:pt idx="0">
                  <c:v>3.3333333333333333E-2</c:v>
                </c:pt>
                <c:pt idx="1">
                  <c:v>0.3</c:v>
                </c:pt>
                <c:pt idx="2">
                  <c:v>0.1</c:v>
                </c:pt>
                <c:pt idx="3">
                  <c:v>0</c:v>
                </c:pt>
                <c:pt idx="4">
                  <c:v>6.6666666666666666E-2</c:v>
                </c:pt>
                <c:pt idx="5">
                  <c:v>0.23333333333333334</c:v>
                </c:pt>
                <c:pt idx="6">
                  <c:v>3.3333333333333333E-2</c:v>
                </c:pt>
                <c:pt idx="7">
                  <c:v>0.16666666666666666</c:v>
                </c:pt>
                <c:pt idx="8">
                  <c:v>0.16666666666666666</c:v>
                </c:pt>
              </c:numCache>
            </c:numRef>
          </c:val>
          <c:extLst>
            <c:ext xmlns:c16="http://schemas.microsoft.com/office/drawing/2014/chart" uri="{C3380CC4-5D6E-409C-BE32-E72D297353CC}">
              <c16:uniqueId val="{00000004-B827-4D84-BBC8-ECF086D301E6}"/>
            </c:ext>
          </c:extLst>
        </c:ser>
        <c:ser>
          <c:idx val="4"/>
          <c:order val="4"/>
          <c:tx>
            <c:strRef>
              <c:f>Pivot_Analysis_Scores!$P$82</c:f>
              <c:strCache>
                <c:ptCount val="1"/>
                <c:pt idx="0">
                  <c:v>5: Advanced</c:v>
                </c:pt>
              </c:strCache>
            </c:strRef>
          </c:tx>
          <c:spPr>
            <a:solidFill>
              <a:srgbClr val="0DA74B"/>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B827-4D84-BBC8-ECF086D301E6}"/>
                </c:ext>
              </c:extLst>
            </c:dLbl>
            <c:dLbl>
              <c:idx val="2"/>
              <c:delete val="1"/>
              <c:extLst>
                <c:ext xmlns:c15="http://schemas.microsoft.com/office/drawing/2012/chart" uri="{CE6537A1-D6FC-4f65-9D91-7224C49458BB}"/>
                <c:ext xmlns:c16="http://schemas.microsoft.com/office/drawing/2014/chart" uri="{C3380CC4-5D6E-409C-BE32-E72D297353CC}">
                  <c16:uniqueId val="{00000006-B827-4D84-BBC8-ECF086D301E6}"/>
                </c:ext>
              </c:extLst>
            </c:dLbl>
            <c:dLbl>
              <c:idx val="3"/>
              <c:delete val="1"/>
              <c:extLst>
                <c:ext xmlns:c15="http://schemas.microsoft.com/office/drawing/2012/chart" uri="{CE6537A1-D6FC-4f65-9D91-7224C49458BB}"/>
                <c:ext xmlns:c16="http://schemas.microsoft.com/office/drawing/2014/chart" uri="{C3380CC4-5D6E-409C-BE32-E72D297353CC}">
                  <c16:uniqueId val="{00000007-B827-4D84-BBC8-ECF086D301E6}"/>
                </c:ext>
              </c:extLst>
            </c:dLbl>
            <c:dLbl>
              <c:idx val="6"/>
              <c:delete val="1"/>
              <c:extLst>
                <c:ext xmlns:c15="http://schemas.microsoft.com/office/drawing/2012/chart" uri="{CE6537A1-D6FC-4f65-9D91-7224C49458BB}"/>
                <c:ext xmlns:c16="http://schemas.microsoft.com/office/drawing/2014/chart" uri="{C3380CC4-5D6E-409C-BE32-E72D297353CC}">
                  <c16:uniqueId val="{00000008-B827-4D84-BBC8-ECF086D301E6}"/>
                </c:ext>
              </c:extLst>
            </c:dLbl>
            <c:dLbl>
              <c:idx val="7"/>
              <c:delete val="1"/>
              <c:extLst>
                <c:ext xmlns:c15="http://schemas.microsoft.com/office/drawing/2012/chart" uri="{CE6537A1-D6FC-4f65-9D91-7224C49458BB}"/>
                <c:ext xmlns:c16="http://schemas.microsoft.com/office/drawing/2014/chart" uri="{C3380CC4-5D6E-409C-BE32-E72D297353CC}">
                  <c16:uniqueId val="{00000009-B827-4D84-BBC8-ECF086D301E6}"/>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Verdana" panose="020B0604030504040204" pitchFamily="34" charset="0"/>
                    <a:ea typeface="Verdana" panose="020B0604030504040204" pitchFamily="34" charset="0"/>
                    <a:cs typeface="+mn-cs"/>
                  </a:defRPr>
                </a:pPr>
                <a:endParaRPr lang="en-CH"/>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Pivot_Analysis_Scores!$Q$77:$Y$77</c:f>
              <c:strCache>
                <c:ptCount val="9"/>
                <c:pt idx="0">
                  <c:v>Overall capacity level</c:v>
                </c:pt>
                <c:pt idx="1">
                  <c:v>Legal framework and institutional mechanisms</c:v>
                </c:pt>
                <c:pt idx="2">
                  <c:v>Observational infrastructure</c:v>
                </c:pt>
                <c:pt idx="3">
                  <c:v>Hazard monitoring</c:v>
                </c:pt>
                <c:pt idx="4">
                  <c:v>Remote-sensing data</c:v>
                </c:pt>
                <c:pt idx="5">
                  <c:v>NWP model and forecasting tool application</c:v>
                </c:pt>
                <c:pt idx="6">
                  <c:v>Impact-based forecasting</c:v>
                </c:pt>
                <c:pt idx="7">
                  <c:v>Warning services and MHEWS operations</c:v>
                </c:pt>
                <c:pt idx="8">
                  <c:v>Financial and technical enablers</c:v>
                </c:pt>
              </c:strCache>
            </c:strRef>
          </c:cat>
          <c:val>
            <c:numRef>
              <c:f>Pivot_Analysis_Scores!$Q$82:$Y$82</c:f>
              <c:numCache>
                <c:formatCode>0%</c:formatCode>
                <c:ptCount val="9"/>
                <c:pt idx="0">
                  <c:v>0</c:v>
                </c:pt>
                <c:pt idx="1">
                  <c:v>0.23333333333333328</c:v>
                </c:pt>
                <c:pt idx="2">
                  <c:v>0</c:v>
                </c:pt>
                <c:pt idx="3">
                  <c:v>0</c:v>
                </c:pt>
                <c:pt idx="4">
                  <c:v>0.23333333333333334</c:v>
                </c:pt>
                <c:pt idx="5">
                  <c:v>3.3333333333333333E-2</c:v>
                </c:pt>
                <c:pt idx="6">
                  <c:v>0</c:v>
                </c:pt>
                <c:pt idx="7">
                  <c:v>0</c:v>
                </c:pt>
                <c:pt idx="8">
                  <c:v>0.13333333333333333</c:v>
                </c:pt>
              </c:numCache>
            </c:numRef>
          </c:val>
          <c:extLst>
            <c:ext xmlns:c16="http://schemas.microsoft.com/office/drawing/2014/chart" uri="{C3380CC4-5D6E-409C-BE32-E72D297353CC}">
              <c16:uniqueId val="{0000000A-B827-4D84-BBC8-ECF086D301E6}"/>
            </c:ext>
          </c:extLst>
        </c:ser>
        <c:dLbls>
          <c:dLblPos val="ctr"/>
          <c:showLegendKey val="0"/>
          <c:showVal val="1"/>
          <c:showCatName val="0"/>
          <c:showSerName val="0"/>
          <c:showPercent val="0"/>
          <c:showBubbleSize val="0"/>
        </c:dLbls>
        <c:gapWidth val="100"/>
        <c:overlap val="100"/>
        <c:axId val="1899063039"/>
        <c:axId val="1286654559"/>
      </c:barChart>
      <c:catAx>
        <c:axId val="189906303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CH"/>
          </a:p>
        </c:txPr>
        <c:crossAx val="1286654559"/>
        <c:crosses val="autoZero"/>
        <c:auto val="1"/>
        <c:lblAlgn val="ctr"/>
        <c:lblOffset val="100"/>
        <c:noMultiLvlLbl val="0"/>
      </c:catAx>
      <c:valAx>
        <c:axId val="1286654559"/>
        <c:scaling>
          <c:orientation val="minMax"/>
          <c:max val="1"/>
        </c:scaling>
        <c:delete val="1"/>
        <c:axPos val="t"/>
        <c:numFmt formatCode="0%" sourceLinked="1"/>
        <c:majorTickMark val="none"/>
        <c:minorTickMark val="none"/>
        <c:tickLblPos val="nextTo"/>
        <c:crossAx val="1899063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Verdana" panose="020B0604030504040204" pitchFamily="34" charset="0"/>
          <a:ea typeface="Verdana" panose="020B0604030504040204" pitchFamily="34" charset="0"/>
        </a:defRPr>
      </a:pPr>
      <a:endParaRPr lang="en-C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Subject_x0020_ xmlns="0e656187-b300-4fb0-8bf4-3a50f872073c">EC-78/INF. 3.1(2)</Subject_x0020_>
    <Project_x0020_Identification_x0020__x002f__x0020_Reference xmlns="0e656187-b300-4fb0-8bf4-3a50f872073c">EC-78</Project_x0020_Identification_x0020__x002f__x0020_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 ma:contentTypeID="0x010100A48F5454A8CC4A159BC390A3C41743D6" ma:contentTypeName="Constituent Bodies"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swatini"/>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renada"/>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echtenstein"/>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lau"/>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eden"/>
          <xsd:enumeration value="Switzerland"/>
          <xsd:enumeration value="Syrian Arab Republic"/>
          <xsd:enumeration value="Tajikistan"/>
          <xsd:enumeration value="Thailand"/>
          <xsd:enumeration value="North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Subject " ma:index="9" ma:internalName="Subject_x0020_" name="Subject_x0020_">
      <xsd:simpleType>
        <xsd:restriction base="dms:Text">
          <xsd:minLength value="1"/>
          <xsd:maxLength value="128"/>
        </xsd:restriction>
      </xsd:simpleType>
    </xsd:element>
    <xsd:element ma:displayName="Project Identification / Reference" ma:index="10"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EBC1C8B-E3B5-4C49-B8AB-229074E818C3}">
  <ds:schemaRefs>
    <ds:schemaRef ds:uri="http://schemas.microsoft.com/office/2006/metadata/properties"/>
    <ds:schemaRef ds:uri="http://purl.org/dc/terms/"/>
    <ds:schemaRef ds:uri="0e656187-b300-4fb0-8bf4-3a50f872073c"/>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A666307-E1B5-4678-8751-E72ABE31C558}">
  <ds:schemaRefs>
    <ds:schemaRef ds:uri="http://schemas.microsoft.com/sharepoint/v3/contenttype/forms"/>
  </ds:schemaRefs>
</ds:datastoreItem>
</file>

<file path=customXml/itemProps3.xml><?xml version="1.0" encoding="utf-8"?>
<ds:datastoreItem xmlns:ds="http://schemas.openxmlformats.org/officeDocument/2006/customXml" ds:itemID="{D75ECEC3-225E-4AEB-973B-B4720518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1AD456-E90C-42C0-BB7F-FD140E565931}">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11099</CharactersWithSpaces>
  <SharedDoc>false</SharedDoc>
  <HLinks>
    <vt:vector size="30" baseType="variant">
      <vt:variant>
        <vt:i4>7077941</vt:i4>
      </vt:variant>
      <vt:variant>
        <vt:i4>3</vt:i4>
      </vt:variant>
      <vt:variant>
        <vt:i4>0</vt:i4>
      </vt:variant>
      <vt:variant>
        <vt:i4>5</vt:i4>
      </vt:variant>
      <vt:variant>
        <vt:lpwstr>https://wmo.int/activities/monitoring-and-evaluation-merp/early-warnings-all-dashboard</vt:lpwstr>
      </vt:variant>
      <vt:variant>
        <vt:lpwstr/>
      </vt:variant>
      <vt:variant>
        <vt:i4>6029330</vt:i4>
      </vt:variant>
      <vt:variant>
        <vt:i4>0</vt:i4>
      </vt:variant>
      <vt:variant>
        <vt:i4>0</vt:i4>
      </vt:variant>
      <vt:variant>
        <vt:i4>5</vt:i4>
      </vt:variant>
      <vt:variant>
        <vt:lpwstr>https://wmo.int/files/early-warnings-all-focus-hazard-monitoring-and-forecasting</vt:lpwstr>
      </vt:variant>
      <vt:variant>
        <vt:lpwstr/>
      </vt:variant>
      <vt:variant>
        <vt:i4>8323112</vt:i4>
      </vt:variant>
      <vt:variant>
        <vt:i4>6</vt:i4>
      </vt:variant>
      <vt:variant>
        <vt:i4>0</vt:i4>
      </vt:variant>
      <vt:variant>
        <vt:i4>5</vt:i4>
      </vt:variant>
      <vt:variant>
        <vt:lpwstr>https://www.undrr.org/publication/multi-hazard-early-warning-system-custom-indicators-methodologies-computation</vt:lpwstr>
      </vt:variant>
      <vt:variant>
        <vt:lpwstr/>
      </vt:variant>
      <vt:variant>
        <vt:i4>7274600</vt:i4>
      </vt:variant>
      <vt:variant>
        <vt:i4>3</vt:i4>
      </vt:variant>
      <vt:variant>
        <vt:i4>0</vt:i4>
      </vt:variant>
      <vt:variant>
        <vt:i4>5</vt:i4>
      </vt:variant>
      <vt:variant>
        <vt:lpwstr>https://www.cdema.org/ews/risk-knowledge-mobile/category/78-multi-hazard-early-warning-systems-a-checklist</vt:lpwstr>
      </vt:variant>
      <vt:variant>
        <vt:lpwstr/>
      </vt:variant>
      <vt:variant>
        <vt:i4>6750266</vt:i4>
      </vt:variant>
      <vt:variant>
        <vt:i4>0</vt:i4>
      </vt:variant>
      <vt:variant>
        <vt:i4>0</vt:i4>
      </vt:variant>
      <vt:variant>
        <vt:i4>5</vt:i4>
      </vt:variant>
      <vt:variant>
        <vt:lpwstr>https://library.wmo.int/records/item/55893-multi-hazard-early-warning-systems-a-checklist?offset=6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Assia Alexieva</dc:creator>
  <cp:lastModifiedBy>Stefano Belfiore</cp:lastModifiedBy>
  <cp:revision>22</cp:revision>
  <cp:lastPrinted>2013-03-12T09:27:00Z</cp:lastPrinted>
  <dcterms:created xsi:type="dcterms:W3CDTF">2024-04-03T09:17:00Z</dcterms:created>
  <dcterms:modified xsi:type="dcterms:W3CDTF">2024-04-05T14:51:00Z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0x0101007F6618265056AE4BB0B3CBC8AC91DD35</vt:lpwstr>
  </property>
  <property fmtid="{D5CDD505-2E9C-101B-9397-08002B2CF9AE}" pid="3" name="MediaServiceImageTags">
    <vt:lpwstr/>
  </property>
</Properties>
</file>