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FBFC" w14:textId="77777777" w:rsidR="009A4F34" w:rsidRPr="00E62831" w:rsidRDefault="009A4F34" w:rsidP="002D086E">
      <w:pPr>
        <w:keepNext/>
        <w:keepLines/>
        <w:spacing w:before="40" w:after="0"/>
        <w:ind w:right="554"/>
        <w:jc w:val="both"/>
        <w:outlineLvl w:val="1"/>
        <w:rPr>
          <w:rFonts w:eastAsia="MS Gothic" w:cstheme="minorHAnsi"/>
          <w:b/>
          <w:bCs/>
          <w:color w:val="002060"/>
          <w:lang w:val="en-GB"/>
        </w:rPr>
      </w:pPr>
      <w:bookmarkStart w:id="0" w:name="_Toc127192178"/>
      <w:bookmarkStart w:id="1" w:name="_Toc128496425"/>
      <w:bookmarkStart w:id="2" w:name="_Toc138867569"/>
      <w:r w:rsidRPr="00E62831">
        <w:rPr>
          <w:rFonts w:eastAsia="MS Gothic" w:cstheme="minorHAnsi"/>
          <w:b/>
          <w:bCs/>
          <w:color w:val="002060"/>
          <w:lang w:val="en-GB"/>
        </w:rPr>
        <w:t>4</w:t>
      </w:r>
      <w:r w:rsidRPr="00E62831" w:rsidDel="00A54BAC">
        <w:rPr>
          <w:rFonts w:eastAsia="MS Gothic" w:cstheme="minorHAnsi"/>
          <w:b/>
          <w:bCs/>
          <w:color w:val="002060"/>
          <w:lang w:val="en-GB"/>
        </w:rPr>
        <w:t xml:space="preserve">.2 </w:t>
      </w:r>
      <w:r w:rsidRPr="00E62831">
        <w:rPr>
          <w:rFonts w:eastAsia="MS Gothic" w:cstheme="minorHAnsi"/>
          <w:b/>
          <w:bCs/>
          <w:color w:val="002060"/>
          <w:lang w:val="en-GB"/>
        </w:rPr>
        <w:fldChar w:fldCharType="begin"/>
      </w:r>
      <w:r w:rsidRPr="00E62831">
        <w:rPr>
          <w:rFonts w:eastAsia="MS Gothic" w:cstheme="minorHAnsi"/>
          <w:b/>
          <w:bCs/>
          <w:color w:val="002060"/>
          <w:lang w:val="en-GB"/>
        </w:rPr>
        <w:instrText xml:space="preserve"> TC  “</w:instrText>
      </w:r>
      <w:bookmarkStart w:id="3" w:name="_Toc129168967"/>
      <w:r w:rsidRPr="00E62831">
        <w:rPr>
          <w:rFonts w:eastAsia="MS Gothic" w:cstheme="minorHAnsi"/>
          <w:b/>
          <w:bCs/>
          <w:color w:val="002060"/>
          <w:lang w:val="en-GB"/>
        </w:rPr>
        <w:instrText>4.2 Step 2 - Analysis of existing GBON stations and their status against GBON requirements</w:instrText>
      </w:r>
      <w:bookmarkEnd w:id="3"/>
      <w:r w:rsidRPr="00E62831">
        <w:rPr>
          <w:rFonts w:eastAsia="MS Gothic" w:cstheme="minorHAnsi"/>
          <w:b/>
          <w:bCs/>
          <w:color w:val="002060"/>
          <w:lang w:val="en-GB"/>
        </w:rPr>
        <w:instrText xml:space="preserve">  ” \f a\l 2 </w:instrText>
      </w:r>
      <w:r w:rsidRPr="00E62831">
        <w:rPr>
          <w:rFonts w:eastAsia="MS Gothic" w:cstheme="minorHAnsi"/>
          <w:b/>
          <w:bCs/>
          <w:color w:val="002060"/>
          <w:lang w:val="en-GB"/>
        </w:rPr>
        <w:fldChar w:fldCharType="end"/>
      </w:r>
      <w:r w:rsidRPr="00E62831">
        <w:rPr>
          <w:rFonts w:eastAsia="MS Gothic" w:cstheme="minorHAnsi"/>
          <w:b/>
          <w:bCs/>
          <w:color w:val="002060"/>
          <w:lang w:val="en-GB"/>
        </w:rPr>
        <w:t>Step 2 - Analysis of existing GBON stations and their status against GBON requirements</w:t>
      </w:r>
      <w:bookmarkEnd w:id="0"/>
      <w:bookmarkEnd w:id="1"/>
      <w:bookmarkEnd w:id="2"/>
      <w:r w:rsidRPr="00E62831">
        <w:rPr>
          <w:rFonts w:eastAsia="MS Gothic" w:cstheme="minorHAnsi"/>
          <w:b/>
          <w:bCs/>
          <w:color w:val="002060"/>
          <w:lang w:val="en-GB"/>
        </w:rPr>
        <w:t xml:space="preserve">  </w:t>
      </w:r>
    </w:p>
    <w:p w14:paraId="742FB647" w14:textId="77777777" w:rsidR="009A4F34" w:rsidRPr="00E62831" w:rsidRDefault="009A4F34" w:rsidP="002D086E">
      <w:pPr>
        <w:spacing w:after="0"/>
        <w:jc w:val="both"/>
        <w:rPr>
          <w:rFonts w:eastAsia="Verdana" w:cstheme="minorHAnsi"/>
          <w:lang w:val="en-GB"/>
        </w:rPr>
      </w:pPr>
    </w:p>
    <w:p w14:paraId="6570C9C9" w14:textId="77777777" w:rsidR="009A4F34" w:rsidRPr="00E62831" w:rsidRDefault="009A4F34" w:rsidP="002D086E">
      <w:pPr>
        <w:spacing w:after="0"/>
        <w:ind w:right="1121"/>
        <w:jc w:val="both"/>
        <w:rPr>
          <w:rFonts w:eastAsia="Verdana" w:cstheme="minorHAnsi"/>
          <w:lang w:val="en-GB"/>
        </w:rPr>
      </w:pPr>
      <w:r w:rsidRPr="00E62831">
        <w:rPr>
          <w:rFonts w:eastAsia="Verdana" w:cstheme="minorHAnsi"/>
          <w:lang w:val="en-GB"/>
        </w:rPr>
        <w:t>In this step, the peer advisor assesses existing stations in the country that could contribute to GBON. This includes stations operated by the National Meteorological and Hydrological Service (NMHS), other governmental agencies, and the private sector, which could contribute to GBON. The peer assesses the operational status of the stations, including the variables they measure and report, and provides a geographical visualization of the distribution of the stations. The networks are evaluated based on the mandatory GBON requirements.</w:t>
      </w:r>
    </w:p>
    <w:p w14:paraId="32FA17EF" w14:textId="77777777" w:rsidR="009A4F34" w:rsidRPr="00E62831" w:rsidRDefault="009A4F34" w:rsidP="002D086E">
      <w:pPr>
        <w:spacing w:after="0"/>
        <w:ind w:right="1121"/>
        <w:jc w:val="both"/>
        <w:rPr>
          <w:rFonts w:eastAsia="Segoe UI" w:cstheme="minorHAnsi"/>
        </w:rPr>
      </w:pPr>
    </w:p>
    <w:p w14:paraId="3F750597" w14:textId="77777777" w:rsidR="009A4F34" w:rsidRPr="00E62831" w:rsidRDefault="009A4F34" w:rsidP="002D086E">
      <w:pPr>
        <w:ind w:right="1121"/>
        <w:jc w:val="both"/>
        <w:rPr>
          <w:rFonts w:eastAsia="Calibri" w:cstheme="minorHAnsi"/>
        </w:rPr>
      </w:pPr>
      <w:r w:rsidRPr="00E62831">
        <w:rPr>
          <w:rFonts w:eastAsia="Calibri" w:cstheme="minorHAnsi"/>
        </w:rPr>
        <w:t xml:space="preserve">The elements to be analyzed in step 2 are: </w:t>
      </w:r>
    </w:p>
    <w:p w14:paraId="0C608C23" w14:textId="460BE1EE" w:rsidR="00004153" w:rsidRPr="00E62831" w:rsidRDefault="009A4F34" w:rsidP="002D086E">
      <w:pPr>
        <w:numPr>
          <w:ilvl w:val="0"/>
          <w:numId w:val="1"/>
        </w:numPr>
        <w:ind w:right="1121"/>
        <w:contextualSpacing/>
        <w:jc w:val="both"/>
        <w:rPr>
          <w:rFonts w:eastAsia="MS Mincho" w:cstheme="minorHAnsi"/>
          <w:bCs/>
        </w:rPr>
      </w:pPr>
      <w:r w:rsidRPr="00E62831">
        <w:rPr>
          <w:rFonts w:eastAsia="Calibri" w:cstheme="minorHAnsi"/>
          <w:b/>
        </w:rPr>
        <w:t>NMHS network:</w:t>
      </w:r>
      <w:r w:rsidRPr="00E62831">
        <w:rPr>
          <w:rFonts w:eastAsia="Calibri" w:cstheme="minorHAnsi"/>
        </w:rPr>
        <w:t xml:space="preserve"> Number of stations managed by the NMHS and their reporting status against GBON requirements, i.e., reporting or to be improved. </w:t>
      </w:r>
      <w:r w:rsidR="006E3442" w:rsidRPr="00E62831">
        <w:rPr>
          <w:rFonts w:eastAsia="Calibri" w:cstheme="minorHAnsi"/>
        </w:rPr>
        <w:t xml:space="preserve">During this step, all </w:t>
      </w:r>
      <w:r w:rsidR="006E3442" w:rsidRPr="00E62831">
        <w:rPr>
          <w:rFonts w:eastAsia="MS Mincho" w:cstheme="minorHAnsi"/>
          <w:bCs/>
        </w:rPr>
        <w:t>GCOS Surface Network (GSN) and GCOS Upper Air Network (GUAN) in the country should be included</w:t>
      </w:r>
      <w:r w:rsidR="003A1B75" w:rsidRPr="00E62831">
        <w:rPr>
          <w:rFonts w:eastAsia="MS Mincho" w:cstheme="minorHAnsi"/>
          <w:bCs/>
        </w:rPr>
        <w:t xml:space="preserve"> and indicated</w:t>
      </w:r>
      <w:r w:rsidR="006E3442" w:rsidRPr="00E62831">
        <w:rPr>
          <w:rFonts w:eastAsia="MS Mincho" w:cstheme="minorHAnsi"/>
          <w:bCs/>
        </w:rPr>
        <w:t>.</w:t>
      </w:r>
      <w:r w:rsidR="006E3442" w:rsidRPr="00E62831">
        <w:rPr>
          <w:rFonts w:eastAsia="Calibri" w:cstheme="minorHAnsi"/>
          <w:bCs/>
        </w:rPr>
        <w:t xml:space="preserve"> </w:t>
      </w:r>
      <w:r w:rsidR="00004153" w:rsidRPr="00E62831">
        <w:rPr>
          <w:rFonts w:eastAsia="MS Mincho" w:cstheme="minorHAnsi"/>
          <w:bCs/>
        </w:rPr>
        <w:t xml:space="preserve">It is recognized that the reporting requirements for these 2 networks (see annex </w:t>
      </w:r>
      <w:r w:rsidR="0089455F">
        <w:rPr>
          <w:rFonts w:eastAsia="MS Mincho" w:cstheme="minorHAnsi"/>
          <w:bCs/>
        </w:rPr>
        <w:t xml:space="preserve"> XX</w:t>
      </w:r>
      <w:r w:rsidR="00004153" w:rsidRPr="00E62831">
        <w:rPr>
          <w:rFonts w:eastAsia="MS Mincho" w:cstheme="minorHAnsi"/>
          <w:bCs/>
        </w:rPr>
        <w:t>) does not meet the minimum GBON reporting requirements, but these stations are an ongoing commitment for the NMHS for climate monitoring and such should be prioritized if there are already</w:t>
      </w:r>
      <w:r w:rsidR="00594922" w:rsidRPr="00E62831">
        <w:rPr>
          <w:rFonts w:eastAsia="MS Mincho" w:cstheme="minorHAnsi"/>
          <w:bCs/>
        </w:rPr>
        <w:t xml:space="preserve"> meeting</w:t>
      </w:r>
      <w:r w:rsidR="00004153" w:rsidRPr="00E62831">
        <w:rPr>
          <w:rFonts w:eastAsia="MS Mincho" w:cstheme="minorHAnsi"/>
          <w:bCs/>
        </w:rPr>
        <w:t>, or can be improved</w:t>
      </w:r>
      <w:r w:rsidR="00594922" w:rsidRPr="00E62831">
        <w:rPr>
          <w:rFonts w:eastAsia="MS Mincho" w:cstheme="minorHAnsi"/>
          <w:bCs/>
        </w:rPr>
        <w:t xml:space="preserve"> to, GBON minimum requirements.</w:t>
      </w:r>
      <w:r w:rsidR="0090759B" w:rsidRPr="00E62831">
        <w:rPr>
          <w:rFonts w:eastAsia="MS Mincho" w:cstheme="minorHAnsi"/>
          <w:bCs/>
        </w:rPr>
        <w:t xml:space="preserve"> If it is decided to affiliate a non-GCOS station to GBON, even though there is a GCOS station in that country, the justification must be provided</w:t>
      </w:r>
    </w:p>
    <w:p w14:paraId="2B741776" w14:textId="77777777" w:rsidR="009A4F34" w:rsidRPr="00E62831" w:rsidRDefault="009A4F34" w:rsidP="002D086E">
      <w:pPr>
        <w:numPr>
          <w:ilvl w:val="0"/>
          <w:numId w:val="1"/>
        </w:numPr>
        <w:ind w:right="1121"/>
        <w:contextualSpacing/>
        <w:jc w:val="both"/>
        <w:rPr>
          <w:rFonts w:eastAsia="Calibri" w:cstheme="minorHAnsi"/>
        </w:rPr>
      </w:pPr>
      <w:r w:rsidRPr="00E62831">
        <w:rPr>
          <w:rFonts w:eastAsia="Calibri" w:cstheme="minorHAnsi"/>
          <w:b/>
          <w:bCs/>
        </w:rPr>
        <w:t>Third-party networks:</w:t>
      </w:r>
      <w:r w:rsidRPr="00E62831">
        <w:rPr>
          <w:rFonts w:eastAsia="Calibri" w:cstheme="minorHAnsi"/>
        </w:rPr>
        <w:t xml:space="preserve"> Number of surface and upper-air stations operated by the third party which could contribute to or become GBON stations and their reporting status against GBON requirements, i.e., reporting or to be improved.</w:t>
      </w:r>
    </w:p>
    <w:p w14:paraId="1FB4D7B8" w14:textId="77777777" w:rsidR="009A4F34" w:rsidRPr="00E62831" w:rsidRDefault="009A4F34" w:rsidP="002D086E">
      <w:pPr>
        <w:numPr>
          <w:ilvl w:val="0"/>
          <w:numId w:val="1"/>
        </w:numPr>
        <w:ind w:right="1121"/>
        <w:contextualSpacing/>
        <w:jc w:val="both"/>
        <w:rPr>
          <w:rFonts w:eastAsia="MS Mincho" w:cstheme="minorHAnsi"/>
          <w:b/>
          <w:bCs/>
        </w:rPr>
      </w:pPr>
      <w:r w:rsidRPr="00E62831">
        <w:rPr>
          <w:rFonts w:eastAsia="Calibri" w:cstheme="minorHAnsi"/>
          <w:b/>
          <w:bCs/>
        </w:rPr>
        <w:t>Station information:</w:t>
      </w:r>
      <w:r w:rsidRPr="00E62831">
        <w:rPr>
          <w:rFonts w:eastAsia="MS Mincho" w:cstheme="minorHAnsi"/>
          <w:b/>
          <w:bCs/>
        </w:rPr>
        <w:t xml:space="preserve"> </w:t>
      </w:r>
      <w:r w:rsidRPr="00E62831">
        <w:rPr>
          <w:rFonts w:eastAsia="Calibri" w:cstheme="minorHAnsi"/>
        </w:rPr>
        <w:t>Name, o</w:t>
      </w:r>
      <w:r w:rsidRPr="00E62831">
        <w:rPr>
          <w:rFonts w:eastAsia="MS Mincho" w:cstheme="minorHAnsi"/>
        </w:rPr>
        <w:t xml:space="preserve">wner, and funding source of </w:t>
      </w:r>
      <w:r w:rsidRPr="00E62831">
        <w:rPr>
          <w:rFonts w:eastAsia="Calibri" w:cstheme="minorHAnsi"/>
        </w:rPr>
        <w:t xml:space="preserve">a </w:t>
      </w:r>
      <w:r w:rsidRPr="00E62831">
        <w:rPr>
          <w:rFonts w:eastAsia="MS Mincho" w:cstheme="minorHAnsi"/>
        </w:rPr>
        <w:t>station, and which variables a station is reporting and how regularly (see Table 4).</w:t>
      </w:r>
    </w:p>
    <w:p w14:paraId="77C47D1D" w14:textId="77777777" w:rsidR="009A4F34" w:rsidRPr="00E62831" w:rsidRDefault="009A4F34" w:rsidP="002D086E">
      <w:pPr>
        <w:spacing w:after="0"/>
        <w:ind w:right="1121"/>
        <w:jc w:val="both"/>
        <w:rPr>
          <w:rFonts w:eastAsia="Calibri" w:cstheme="minorHAnsi"/>
        </w:rPr>
      </w:pPr>
    </w:p>
    <w:p w14:paraId="4800C87B" w14:textId="77777777" w:rsidR="009A4F34" w:rsidRPr="00E62831" w:rsidRDefault="009A4F34" w:rsidP="002D086E">
      <w:pPr>
        <w:spacing w:after="0"/>
        <w:ind w:right="1121"/>
        <w:jc w:val="both"/>
        <w:rPr>
          <w:rFonts w:eastAsia="Calibri" w:cstheme="minorHAnsi"/>
        </w:rPr>
      </w:pPr>
      <w:r w:rsidRPr="00E62831">
        <w:rPr>
          <w:rFonts w:eastAsia="Calibri" w:cstheme="minorHAnsi"/>
        </w:rPr>
        <w:t xml:space="preserve">The status of existing stations is defined as follows: </w:t>
      </w:r>
    </w:p>
    <w:p w14:paraId="6117F5C4" w14:textId="77777777" w:rsidR="009A4F34" w:rsidRPr="00E62831" w:rsidRDefault="009A4F34" w:rsidP="002D086E">
      <w:pPr>
        <w:spacing w:after="0"/>
        <w:ind w:right="1121"/>
        <w:jc w:val="both"/>
        <w:rPr>
          <w:rFonts w:eastAsia="Calibri" w:cstheme="minorHAnsi"/>
        </w:rPr>
      </w:pPr>
    </w:p>
    <w:p w14:paraId="6F3C4D4C" w14:textId="09D0E077" w:rsidR="009A4F34" w:rsidRPr="002D086E" w:rsidRDefault="009A4F34" w:rsidP="002D086E">
      <w:pPr>
        <w:pStyle w:val="ListParagraph"/>
        <w:numPr>
          <w:ilvl w:val="0"/>
          <w:numId w:val="3"/>
        </w:numPr>
        <w:ind w:left="360" w:right="1121"/>
        <w:jc w:val="both"/>
        <w:rPr>
          <w:rFonts w:eastAsia="MS Mincho" w:cstheme="minorHAnsi"/>
          <w:b/>
        </w:rPr>
      </w:pPr>
      <w:r w:rsidRPr="00E62831">
        <w:rPr>
          <w:rFonts w:eastAsia="Segoe UI" w:cstheme="minorHAnsi"/>
          <w:b/>
        </w:rPr>
        <w:t xml:space="preserve">Reporting to requirements: </w:t>
      </w:r>
      <w:r w:rsidRPr="00E62831">
        <w:rPr>
          <w:rFonts w:eastAsia="Segoe UI" w:cstheme="minorHAnsi"/>
          <w:bCs/>
        </w:rPr>
        <w:t>The rationale for classifying surface and upper-air stations as reporting is based on the WIGOS Data Quality Monitoring System (WDQMS) for the chosen time period (WMO GBON Global Gap analysis</w:t>
      </w:r>
      <w:r w:rsidRPr="00E62831">
        <w:rPr>
          <w:rFonts w:eastAsia="Segoe UI" w:cstheme="minorHAnsi"/>
        </w:rPr>
        <w:t xml:space="preserve">, </w:t>
      </w:r>
      <w:r w:rsidR="00FD7982">
        <w:rPr>
          <w:rFonts w:eastAsia="Segoe UI" w:cstheme="minorHAnsi"/>
          <w:bCs/>
        </w:rPr>
        <w:t>June 2023</w:t>
      </w:r>
      <w:r w:rsidRPr="00E62831">
        <w:rPr>
          <w:rFonts w:eastAsia="Segoe UI" w:cstheme="minorHAnsi"/>
          <w:bCs/>
        </w:rPr>
        <w:t xml:space="preserve">). </w:t>
      </w:r>
      <w:r w:rsidRPr="00FD7982">
        <w:rPr>
          <w:rFonts w:eastAsia="Segoe UI" w:cstheme="minorHAnsi"/>
          <w:bCs/>
        </w:rPr>
        <w:t xml:space="preserve">Stations that were either green (GBON compliant), or orange (“potentially GBON compliant”) on at least </w:t>
      </w:r>
      <w:r w:rsidR="00FD7982" w:rsidRPr="00FD7982">
        <w:rPr>
          <w:rFonts w:eastAsia="Segoe UI" w:cstheme="minorHAnsi"/>
          <w:bCs/>
        </w:rPr>
        <w:t>8</w:t>
      </w:r>
      <w:r w:rsidRPr="00FD7982">
        <w:rPr>
          <w:rFonts w:eastAsia="Segoe UI" w:cstheme="minorHAnsi"/>
          <w:bCs/>
        </w:rPr>
        <w:t>0% of</w:t>
      </w:r>
      <w:r w:rsidRPr="00E62831">
        <w:rPr>
          <w:rFonts w:eastAsia="Segoe UI" w:cstheme="minorHAnsi"/>
          <w:bCs/>
        </w:rPr>
        <w:t xml:space="preserve"> days, are considered as reporting. Other listed stations are counted as having the possibility to be improved.</w:t>
      </w:r>
      <w:r w:rsidRPr="00E62831">
        <w:rPr>
          <w:rFonts w:eastAsia="Segoe UI" w:cstheme="minorHAnsi"/>
          <w:b/>
        </w:rPr>
        <w:t xml:space="preserve"> </w:t>
      </w:r>
    </w:p>
    <w:p w14:paraId="776E486E" w14:textId="77777777" w:rsidR="009A4F34" w:rsidRPr="00E62831" w:rsidRDefault="009A4F34" w:rsidP="00E62831">
      <w:pPr>
        <w:numPr>
          <w:ilvl w:val="0"/>
          <w:numId w:val="2"/>
        </w:numPr>
        <w:ind w:left="360" w:right="1121"/>
        <w:contextualSpacing/>
        <w:jc w:val="both"/>
        <w:rPr>
          <w:rFonts w:eastAsia="MS Mincho" w:cstheme="minorHAnsi"/>
          <w:b/>
        </w:rPr>
      </w:pPr>
      <w:r w:rsidRPr="00E62831">
        <w:rPr>
          <w:rFonts w:eastAsia="Segoe UI" w:cstheme="minorHAnsi"/>
          <w:b/>
        </w:rPr>
        <w:t xml:space="preserve">Improve: </w:t>
      </w:r>
      <w:r w:rsidRPr="00E62831">
        <w:rPr>
          <w:rFonts w:eastAsia="Segoe UI" w:cstheme="minorHAnsi"/>
        </w:rPr>
        <w:t>Whether the station exists but is not fully operational and can be improved to report internationally as per the GBON requirements (e.g., the station is out of service, has broken instruments, reports on only some variables, or not as often as required, the observations are not exchanged internationally via WIS or other issues with the data transmission system). The a</w:t>
      </w:r>
      <w:r w:rsidRPr="00E62831">
        <w:rPr>
          <w:rFonts w:eastAsia="Calibri" w:cstheme="minorHAnsi"/>
        </w:rPr>
        <w:t xml:space="preserve">ctions for improvements should be assessed and outlined in the GBON National Contribution Plan. </w:t>
      </w:r>
    </w:p>
    <w:p w14:paraId="0C5780A2" w14:textId="77777777" w:rsidR="00823C5F" w:rsidRPr="002D086E" w:rsidRDefault="00823C5F" w:rsidP="00E62831">
      <w:pPr>
        <w:ind w:right="1121"/>
        <w:jc w:val="both"/>
        <w:rPr>
          <w:rFonts w:cstheme="minorHAnsi"/>
        </w:rPr>
      </w:pPr>
    </w:p>
    <w:p w14:paraId="26993365" w14:textId="77777777" w:rsidR="00594922" w:rsidRPr="002D086E" w:rsidRDefault="00594922" w:rsidP="00E62831">
      <w:pPr>
        <w:jc w:val="both"/>
        <w:rPr>
          <w:rFonts w:cstheme="minorHAnsi"/>
        </w:rPr>
      </w:pPr>
    </w:p>
    <w:p w14:paraId="6C2411A7" w14:textId="5215AC80" w:rsidR="00594922" w:rsidRPr="002D086E" w:rsidRDefault="00594922" w:rsidP="00E62831">
      <w:pPr>
        <w:jc w:val="both"/>
        <w:rPr>
          <w:rFonts w:cstheme="minorHAnsi"/>
        </w:rPr>
      </w:pPr>
      <w:r w:rsidRPr="002D086E">
        <w:rPr>
          <w:rFonts w:cstheme="minorHAnsi"/>
        </w:rPr>
        <w:t xml:space="preserve">Annex </w:t>
      </w:r>
      <w:r w:rsidR="0089455F">
        <w:rPr>
          <w:rFonts w:cstheme="minorHAnsi"/>
        </w:rPr>
        <w:t>XX</w:t>
      </w:r>
    </w:p>
    <w:p w14:paraId="54509BB0" w14:textId="4E75EE46" w:rsidR="00594922" w:rsidRPr="002D086E" w:rsidRDefault="000463CB" w:rsidP="00E62831">
      <w:pPr>
        <w:jc w:val="both"/>
        <w:rPr>
          <w:rFonts w:cstheme="minorHAnsi"/>
        </w:rPr>
      </w:pPr>
      <w:r w:rsidRPr="002D086E">
        <w:rPr>
          <w:rFonts w:cstheme="minorHAnsi"/>
        </w:rPr>
        <w:t>The following text has been copied from the GCOS-144 publication (Guide to the GSN and GUAN), with the full publication available from the WMO e-library. (</w:t>
      </w:r>
      <w:hyperlink r:id="rId8" w:history="1">
        <w:r w:rsidRPr="002D086E">
          <w:rPr>
            <w:rStyle w:val="Hyperlink"/>
            <w:rFonts w:cstheme="minorHAnsi"/>
          </w:rPr>
          <w:t>https://library.wmo.int/records/item/48325-guide-to-the-gcos-surface-network-gsn-and-gcos-upper-air-network-guan?offset=2</w:t>
        </w:r>
      </w:hyperlink>
      <w:r w:rsidRPr="002D086E">
        <w:rPr>
          <w:rFonts w:cstheme="minorHAnsi"/>
        </w:rPr>
        <w:t>)</w:t>
      </w:r>
    </w:p>
    <w:p w14:paraId="560C91F1" w14:textId="7EB4D2EE" w:rsidR="000463CB" w:rsidRPr="00E62831" w:rsidRDefault="000463CB" w:rsidP="00E62831">
      <w:pPr>
        <w:pStyle w:val="Heading2"/>
        <w:tabs>
          <w:tab w:val="left" w:pos="1008"/>
          <w:tab w:val="left" w:pos="1009"/>
        </w:tabs>
        <w:spacing w:before="76"/>
        <w:ind w:left="720" w:firstLine="0"/>
        <w:jc w:val="both"/>
        <w:rPr>
          <w:rFonts w:asciiTheme="minorHAnsi" w:hAnsiTheme="minorHAnsi" w:cstheme="minorHAnsi"/>
          <w:sz w:val="22"/>
          <w:szCs w:val="22"/>
        </w:rPr>
      </w:pPr>
      <w:bookmarkStart w:id="4" w:name="_TOC_250011"/>
      <w:r w:rsidRPr="00E62831">
        <w:rPr>
          <w:rFonts w:asciiTheme="minorHAnsi" w:hAnsiTheme="minorHAnsi" w:cstheme="minorHAnsi"/>
          <w:sz w:val="22"/>
          <w:szCs w:val="22"/>
        </w:rPr>
        <w:t>GSN and GUAN OBSERVATION REQUIREMENTS FOR</w:t>
      </w:r>
      <w:r w:rsidRPr="00E62831">
        <w:rPr>
          <w:rFonts w:asciiTheme="minorHAnsi" w:hAnsiTheme="minorHAnsi" w:cstheme="minorHAnsi"/>
          <w:spacing w:val="-2"/>
          <w:sz w:val="22"/>
          <w:szCs w:val="22"/>
        </w:rPr>
        <w:t xml:space="preserve"> </w:t>
      </w:r>
      <w:bookmarkEnd w:id="4"/>
      <w:r w:rsidRPr="00E62831">
        <w:rPr>
          <w:rFonts w:asciiTheme="minorHAnsi" w:hAnsiTheme="minorHAnsi" w:cstheme="minorHAnsi"/>
          <w:sz w:val="22"/>
          <w:szCs w:val="22"/>
        </w:rPr>
        <w:t>STATIONS</w:t>
      </w:r>
    </w:p>
    <w:p w14:paraId="3B47A477" w14:textId="77777777" w:rsidR="000463CB" w:rsidRPr="00E62831" w:rsidRDefault="000463CB" w:rsidP="00E62831">
      <w:pPr>
        <w:pStyle w:val="BodyText"/>
        <w:spacing w:before="10"/>
        <w:jc w:val="both"/>
        <w:rPr>
          <w:rFonts w:asciiTheme="minorHAnsi" w:hAnsiTheme="minorHAnsi" w:cstheme="minorHAnsi"/>
          <w:b/>
        </w:rPr>
      </w:pPr>
    </w:p>
    <w:p w14:paraId="467D41DF" w14:textId="77777777" w:rsidR="000463CB" w:rsidRPr="00E62831" w:rsidRDefault="000463CB" w:rsidP="00E62831">
      <w:pPr>
        <w:pStyle w:val="BodyText"/>
        <w:ind w:left="300"/>
        <w:jc w:val="both"/>
        <w:rPr>
          <w:rFonts w:asciiTheme="minorHAnsi" w:hAnsiTheme="minorHAnsi" w:cstheme="minorHAnsi"/>
        </w:rPr>
      </w:pPr>
      <w:r w:rsidRPr="00E62831">
        <w:rPr>
          <w:rFonts w:asciiTheme="minorHAnsi" w:hAnsiTheme="minorHAnsi" w:cstheme="minorHAnsi"/>
        </w:rPr>
        <w:t>The criteria for inclusion of stations in the networks are defined at two levels:</w:t>
      </w:r>
    </w:p>
    <w:p w14:paraId="4E54DD48" w14:textId="77777777" w:rsidR="000463CB" w:rsidRPr="00E62831" w:rsidRDefault="000463CB" w:rsidP="00E62831">
      <w:pPr>
        <w:pStyle w:val="BodyText"/>
        <w:spacing w:before="3"/>
        <w:jc w:val="both"/>
        <w:rPr>
          <w:rFonts w:asciiTheme="minorHAnsi" w:hAnsiTheme="minorHAnsi" w:cstheme="minorHAnsi"/>
        </w:rPr>
      </w:pPr>
    </w:p>
    <w:p w14:paraId="28B9E1C2" w14:textId="77777777" w:rsidR="000463CB" w:rsidRPr="002D086E" w:rsidRDefault="000463CB" w:rsidP="002D086E">
      <w:pPr>
        <w:pStyle w:val="ListParagraph"/>
        <w:widowControl w:val="0"/>
        <w:numPr>
          <w:ilvl w:val="0"/>
          <w:numId w:val="7"/>
        </w:numPr>
        <w:tabs>
          <w:tab w:val="left" w:pos="661"/>
        </w:tabs>
        <w:autoSpaceDE w:val="0"/>
        <w:autoSpaceDN w:val="0"/>
        <w:spacing w:before="1" w:after="0" w:line="237" w:lineRule="auto"/>
        <w:ind w:right="1461" w:hanging="340"/>
        <w:contextualSpacing w:val="0"/>
        <w:jc w:val="both"/>
        <w:rPr>
          <w:rFonts w:cstheme="minorHAnsi"/>
        </w:rPr>
      </w:pPr>
      <w:r w:rsidRPr="002D086E">
        <w:rPr>
          <w:rFonts w:cstheme="minorHAnsi"/>
        </w:rPr>
        <w:t>Target Requirements (TRQs) are those that are ideally to be satisfied. Stations meeting all the TRQs shall have priority over stations that are deficient in that respect in some way.</w:t>
      </w:r>
    </w:p>
    <w:p w14:paraId="7E1697B4" w14:textId="77777777" w:rsidR="000463CB" w:rsidRPr="002D086E" w:rsidRDefault="000463CB" w:rsidP="002D086E">
      <w:pPr>
        <w:pStyle w:val="ListParagraph"/>
        <w:widowControl w:val="0"/>
        <w:numPr>
          <w:ilvl w:val="0"/>
          <w:numId w:val="7"/>
        </w:numPr>
        <w:tabs>
          <w:tab w:val="left" w:pos="661"/>
        </w:tabs>
        <w:autoSpaceDE w:val="0"/>
        <w:autoSpaceDN w:val="0"/>
        <w:spacing w:before="6" w:after="0" w:line="237" w:lineRule="auto"/>
        <w:ind w:right="1462" w:hanging="340"/>
        <w:contextualSpacing w:val="0"/>
        <w:jc w:val="both"/>
        <w:rPr>
          <w:rFonts w:cstheme="minorHAnsi"/>
        </w:rPr>
      </w:pPr>
      <w:r w:rsidRPr="002D086E">
        <w:rPr>
          <w:rFonts w:cstheme="minorHAnsi"/>
        </w:rPr>
        <w:t>Minimum Requirements (MRQs) are the bare minimum that must be satisfied for inclusion.</w:t>
      </w:r>
    </w:p>
    <w:p w14:paraId="43C6D87D" w14:textId="77777777" w:rsidR="000463CB" w:rsidRPr="00E62831" w:rsidRDefault="000463CB" w:rsidP="00E62831">
      <w:pPr>
        <w:pStyle w:val="BodyText"/>
        <w:jc w:val="both"/>
        <w:rPr>
          <w:rFonts w:asciiTheme="minorHAnsi" w:hAnsiTheme="minorHAnsi" w:cstheme="minorHAnsi"/>
        </w:rPr>
      </w:pPr>
    </w:p>
    <w:p w14:paraId="3E6C163E" w14:textId="77777777" w:rsidR="000463CB" w:rsidRPr="00E62831" w:rsidRDefault="000463CB" w:rsidP="00E62831">
      <w:pPr>
        <w:pStyle w:val="BodyText"/>
        <w:ind w:left="300"/>
        <w:jc w:val="both"/>
        <w:rPr>
          <w:rFonts w:asciiTheme="minorHAnsi" w:hAnsiTheme="minorHAnsi" w:cstheme="minorHAnsi"/>
        </w:rPr>
      </w:pPr>
      <w:r w:rsidRPr="00E62831">
        <w:rPr>
          <w:rFonts w:asciiTheme="minorHAnsi" w:hAnsiTheme="minorHAnsi" w:cstheme="minorHAnsi"/>
        </w:rPr>
        <w:t>The "required performance level" in commitment 2 (</w:t>
      </w:r>
      <w:proofErr w:type="spellStart"/>
      <w:r w:rsidRPr="00E62831">
        <w:rPr>
          <w:rFonts w:asciiTheme="minorHAnsi" w:hAnsiTheme="minorHAnsi" w:cstheme="minorHAnsi"/>
        </w:rPr>
        <w:t>i</w:t>
      </w:r>
      <w:proofErr w:type="spellEnd"/>
      <w:r w:rsidRPr="00E62831">
        <w:rPr>
          <w:rFonts w:asciiTheme="minorHAnsi" w:hAnsiTheme="minorHAnsi" w:cstheme="minorHAnsi"/>
        </w:rPr>
        <w:t>) refers to the Target Requirements.</w:t>
      </w:r>
    </w:p>
    <w:p w14:paraId="539E1267" w14:textId="77777777" w:rsidR="000463CB" w:rsidRPr="00E62831" w:rsidRDefault="000463CB" w:rsidP="00E62831">
      <w:pPr>
        <w:pStyle w:val="BodyText"/>
        <w:jc w:val="both"/>
        <w:rPr>
          <w:rFonts w:asciiTheme="minorHAnsi" w:hAnsiTheme="minorHAnsi" w:cstheme="minorHAnsi"/>
        </w:rPr>
      </w:pPr>
    </w:p>
    <w:p w14:paraId="7234D700" w14:textId="77777777" w:rsidR="000463CB" w:rsidRPr="00E62831" w:rsidRDefault="000463CB" w:rsidP="00E62831">
      <w:pPr>
        <w:pStyle w:val="BodyText"/>
        <w:spacing w:before="1"/>
        <w:jc w:val="both"/>
        <w:rPr>
          <w:rFonts w:asciiTheme="minorHAnsi" w:hAnsiTheme="minorHAnsi" w:cstheme="minorHAnsi"/>
        </w:rPr>
      </w:pPr>
    </w:p>
    <w:p w14:paraId="7029162E" w14:textId="77777777" w:rsidR="000463CB" w:rsidRPr="00E62831" w:rsidRDefault="000463CB" w:rsidP="00E62831">
      <w:pPr>
        <w:pStyle w:val="Heading3"/>
        <w:numPr>
          <w:ilvl w:val="1"/>
          <w:numId w:val="4"/>
        </w:numPr>
        <w:tabs>
          <w:tab w:val="left" w:pos="1008"/>
          <w:tab w:val="left" w:pos="1010"/>
        </w:tabs>
        <w:ind w:left="1009" w:hanging="710"/>
        <w:jc w:val="both"/>
        <w:rPr>
          <w:rFonts w:asciiTheme="minorHAnsi" w:hAnsiTheme="minorHAnsi" w:cstheme="minorHAnsi"/>
        </w:rPr>
      </w:pPr>
      <w:bookmarkStart w:id="5" w:name="_TOC_250010"/>
      <w:r w:rsidRPr="00E62831">
        <w:rPr>
          <w:rFonts w:asciiTheme="minorHAnsi" w:hAnsiTheme="minorHAnsi" w:cstheme="minorHAnsi"/>
          <w:u w:val="thick"/>
        </w:rPr>
        <w:t>Statement of</w:t>
      </w:r>
      <w:r w:rsidRPr="00E62831">
        <w:rPr>
          <w:rFonts w:asciiTheme="minorHAnsi" w:hAnsiTheme="minorHAnsi" w:cstheme="minorHAnsi"/>
          <w:spacing w:val="-1"/>
          <w:u w:val="thick"/>
        </w:rPr>
        <w:t xml:space="preserve"> </w:t>
      </w:r>
      <w:bookmarkEnd w:id="5"/>
      <w:r w:rsidRPr="00E62831">
        <w:rPr>
          <w:rFonts w:asciiTheme="minorHAnsi" w:hAnsiTheme="minorHAnsi" w:cstheme="minorHAnsi"/>
          <w:u w:val="thick"/>
        </w:rPr>
        <w:t>commitment</w:t>
      </w:r>
    </w:p>
    <w:p w14:paraId="7344D439" w14:textId="77777777" w:rsidR="000463CB" w:rsidRPr="00E62831" w:rsidRDefault="000463CB" w:rsidP="00E62831">
      <w:pPr>
        <w:pStyle w:val="BodyText"/>
        <w:spacing w:before="10"/>
        <w:jc w:val="both"/>
        <w:rPr>
          <w:rFonts w:asciiTheme="minorHAnsi" w:hAnsiTheme="minorHAnsi" w:cstheme="minorHAnsi"/>
          <w:b/>
        </w:rPr>
      </w:pPr>
    </w:p>
    <w:p w14:paraId="328E961B" w14:textId="77777777" w:rsidR="000463CB" w:rsidRPr="00E62831" w:rsidRDefault="000463CB" w:rsidP="002D086E">
      <w:pPr>
        <w:pStyle w:val="BodyText"/>
        <w:spacing w:before="93"/>
        <w:ind w:left="300" w:right="1462"/>
        <w:jc w:val="both"/>
        <w:rPr>
          <w:rFonts w:asciiTheme="minorHAnsi" w:hAnsiTheme="minorHAnsi" w:cstheme="minorHAnsi"/>
        </w:rPr>
      </w:pPr>
      <w:r w:rsidRPr="00E62831">
        <w:rPr>
          <w:rFonts w:asciiTheme="minorHAnsi" w:hAnsiTheme="minorHAnsi" w:cstheme="minorHAnsi"/>
        </w:rPr>
        <w:t>A written statement of commitment by the responsible NMHS to operate the station on a long-term basis, and to provide data and metadata as documented below, is a Target Requirement.</w:t>
      </w:r>
    </w:p>
    <w:p w14:paraId="232145FA" w14:textId="77777777" w:rsidR="000463CB" w:rsidRPr="00E62831" w:rsidRDefault="000463CB" w:rsidP="00E62831">
      <w:pPr>
        <w:pStyle w:val="BodyText"/>
        <w:jc w:val="both"/>
        <w:rPr>
          <w:rFonts w:asciiTheme="minorHAnsi" w:hAnsiTheme="minorHAnsi" w:cstheme="minorHAnsi"/>
        </w:rPr>
      </w:pPr>
    </w:p>
    <w:p w14:paraId="4E865C30" w14:textId="77777777" w:rsidR="000463CB" w:rsidRPr="00E62831" w:rsidRDefault="000463CB" w:rsidP="00E62831">
      <w:pPr>
        <w:pStyle w:val="BodyText"/>
        <w:spacing w:before="1"/>
        <w:jc w:val="both"/>
        <w:rPr>
          <w:rFonts w:asciiTheme="minorHAnsi" w:hAnsiTheme="minorHAnsi" w:cstheme="minorHAnsi"/>
        </w:rPr>
      </w:pPr>
    </w:p>
    <w:p w14:paraId="138B8B83" w14:textId="77777777" w:rsidR="000463CB" w:rsidRPr="00E62831" w:rsidRDefault="000463CB" w:rsidP="00E62831">
      <w:pPr>
        <w:pStyle w:val="Heading3"/>
        <w:numPr>
          <w:ilvl w:val="1"/>
          <w:numId w:val="4"/>
        </w:numPr>
        <w:tabs>
          <w:tab w:val="left" w:pos="1008"/>
          <w:tab w:val="left" w:pos="1009"/>
        </w:tabs>
        <w:ind w:left="1440" w:hanging="360"/>
        <w:jc w:val="both"/>
        <w:rPr>
          <w:rFonts w:asciiTheme="minorHAnsi" w:hAnsiTheme="minorHAnsi" w:cstheme="minorHAnsi"/>
        </w:rPr>
      </w:pPr>
      <w:bookmarkStart w:id="6" w:name="_TOC_250009"/>
      <w:r w:rsidRPr="00E62831">
        <w:rPr>
          <w:rFonts w:asciiTheme="minorHAnsi" w:hAnsiTheme="minorHAnsi" w:cstheme="minorHAnsi"/>
          <w:u w:val="thick"/>
        </w:rPr>
        <w:t>Observed</w:t>
      </w:r>
      <w:r w:rsidRPr="00E62831">
        <w:rPr>
          <w:rFonts w:asciiTheme="minorHAnsi" w:hAnsiTheme="minorHAnsi" w:cstheme="minorHAnsi"/>
          <w:spacing w:val="-1"/>
          <w:u w:val="thick"/>
        </w:rPr>
        <w:t xml:space="preserve"> </w:t>
      </w:r>
      <w:bookmarkEnd w:id="6"/>
      <w:r w:rsidRPr="00E62831">
        <w:rPr>
          <w:rFonts w:asciiTheme="minorHAnsi" w:hAnsiTheme="minorHAnsi" w:cstheme="minorHAnsi"/>
          <w:u w:val="thick"/>
        </w:rPr>
        <w:t>parameters</w:t>
      </w:r>
    </w:p>
    <w:p w14:paraId="6B73CD8B" w14:textId="77777777" w:rsidR="000463CB" w:rsidRPr="00E62831" w:rsidRDefault="000463CB" w:rsidP="00E62831">
      <w:pPr>
        <w:pStyle w:val="BodyText"/>
        <w:spacing w:before="9"/>
        <w:jc w:val="both"/>
        <w:rPr>
          <w:rFonts w:asciiTheme="minorHAnsi" w:hAnsiTheme="minorHAnsi" w:cstheme="minorHAnsi"/>
          <w:b/>
        </w:rPr>
      </w:pPr>
    </w:p>
    <w:p w14:paraId="54A14D19" w14:textId="77777777" w:rsidR="000463CB" w:rsidRPr="002D086E" w:rsidRDefault="000463CB" w:rsidP="00E62831">
      <w:pPr>
        <w:pStyle w:val="ListParagraph"/>
        <w:widowControl w:val="0"/>
        <w:numPr>
          <w:ilvl w:val="0"/>
          <w:numId w:val="6"/>
        </w:numPr>
        <w:tabs>
          <w:tab w:val="left" w:pos="618"/>
        </w:tabs>
        <w:autoSpaceDE w:val="0"/>
        <w:autoSpaceDN w:val="0"/>
        <w:spacing w:before="93" w:after="0" w:line="240" w:lineRule="auto"/>
        <w:contextualSpacing w:val="0"/>
        <w:jc w:val="both"/>
        <w:rPr>
          <w:rFonts w:cstheme="minorHAnsi"/>
        </w:rPr>
      </w:pPr>
      <w:r w:rsidRPr="002D086E">
        <w:rPr>
          <w:rFonts w:cstheme="minorHAnsi"/>
        </w:rPr>
        <w:t xml:space="preserve">For the </w:t>
      </w:r>
      <w:r w:rsidRPr="002D086E">
        <w:rPr>
          <w:rFonts w:cstheme="minorHAnsi"/>
          <w:u w:val="single"/>
        </w:rPr>
        <w:t>GSN</w:t>
      </w:r>
      <w:r w:rsidRPr="002D086E">
        <w:rPr>
          <w:rFonts w:cstheme="minorHAnsi"/>
        </w:rPr>
        <w:t>, the requirements are as</w:t>
      </w:r>
      <w:r w:rsidRPr="002D086E">
        <w:rPr>
          <w:rFonts w:cstheme="minorHAnsi"/>
          <w:spacing w:val="-3"/>
        </w:rPr>
        <w:t xml:space="preserve"> </w:t>
      </w:r>
      <w:r w:rsidRPr="002D086E">
        <w:rPr>
          <w:rFonts w:cstheme="minorHAnsi"/>
        </w:rPr>
        <w:t>follows:</w:t>
      </w:r>
    </w:p>
    <w:p w14:paraId="4B179ECF" w14:textId="77777777" w:rsidR="000463CB" w:rsidRPr="00E62831" w:rsidRDefault="000463CB" w:rsidP="00E62831">
      <w:pPr>
        <w:pStyle w:val="BodyText"/>
        <w:jc w:val="both"/>
        <w:rPr>
          <w:rFonts w:asciiTheme="minorHAnsi" w:hAnsiTheme="minorHAnsi" w:cstheme="minorHAnsi"/>
        </w:rPr>
      </w:pPr>
    </w:p>
    <w:p w14:paraId="64344629" w14:textId="77777777" w:rsidR="000463CB" w:rsidRPr="00E62831" w:rsidRDefault="000463CB" w:rsidP="00E62831">
      <w:pPr>
        <w:pStyle w:val="BodyText"/>
        <w:ind w:left="300"/>
        <w:jc w:val="both"/>
        <w:rPr>
          <w:rFonts w:asciiTheme="minorHAnsi" w:hAnsiTheme="minorHAnsi" w:cstheme="minorHAnsi"/>
        </w:rPr>
      </w:pPr>
      <w:r w:rsidRPr="00E62831">
        <w:rPr>
          <w:rFonts w:asciiTheme="minorHAnsi" w:hAnsiTheme="minorHAnsi" w:cstheme="minorHAnsi"/>
        </w:rPr>
        <w:t>MRQs:</w:t>
      </w:r>
    </w:p>
    <w:p w14:paraId="4474805D" w14:textId="77777777" w:rsidR="000463CB" w:rsidRPr="00E62831" w:rsidRDefault="000463CB" w:rsidP="00E62831">
      <w:pPr>
        <w:pStyle w:val="BodyText"/>
        <w:spacing w:before="1"/>
        <w:jc w:val="both"/>
        <w:rPr>
          <w:rFonts w:asciiTheme="minorHAnsi" w:hAnsiTheme="minorHAnsi" w:cstheme="minorHAnsi"/>
        </w:rPr>
      </w:pPr>
    </w:p>
    <w:p w14:paraId="446D5816" w14:textId="77777777" w:rsidR="000463CB" w:rsidRPr="002D086E" w:rsidRDefault="000463CB" w:rsidP="00E62831">
      <w:pPr>
        <w:pStyle w:val="ListParagraph"/>
        <w:widowControl w:val="0"/>
        <w:numPr>
          <w:ilvl w:val="0"/>
          <w:numId w:val="7"/>
        </w:numPr>
        <w:tabs>
          <w:tab w:val="left" w:pos="660"/>
          <w:tab w:val="left" w:pos="661"/>
        </w:tabs>
        <w:autoSpaceDE w:val="0"/>
        <w:autoSpaceDN w:val="0"/>
        <w:spacing w:after="0" w:line="269" w:lineRule="exact"/>
        <w:ind w:left="660"/>
        <w:contextualSpacing w:val="0"/>
        <w:jc w:val="both"/>
        <w:rPr>
          <w:rFonts w:cstheme="minorHAnsi"/>
        </w:rPr>
      </w:pPr>
      <w:r w:rsidRPr="002D086E">
        <w:rPr>
          <w:rFonts w:cstheme="minorHAnsi"/>
        </w:rPr>
        <w:t>Monthly means of daily maximum, minimum and mean</w:t>
      </w:r>
      <w:r w:rsidRPr="002D086E">
        <w:rPr>
          <w:rFonts w:cstheme="minorHAnsi"/>
          <w:spacing w:val="-2"/>
        </w:rPr>
        <w:t xml:space="preserve"> </w:t>
      </w:r>
      <w:r w:rsidRPr="002D086E">
        <w:rPr>
          <w:rFonts w:cstheme="minorHAnsi"/>
        </w:rPr>
        <w:t>temperature.</w:t>
      </w:r>
    </w:p>
    <w:p w14:paraId="31D917D7" w14:textId="77777777" w:rsidR="000463CB" w:rsidRPr="002D086E" w:rsidRDefault="000463CB" w:rsidP="00E62831">
      <w:pPr>
        <w:pStyle w:val="ListParagraph"/>
        <w:widowControl w:val="0"/>
        <w:numPr>
          <w:ilvl w:val="0"/>
          <w:numId w:val="7"/>
        </w:numPr>
        <w:tabs>
          <w:tab w:val="left" w:pos="660"/>
          <w:tab w:val="left" w:pos="661"/>
        </w:tabs>
        <w:autoSpaceDE w:val="0"/>
        <w:autoSpaceDN w:val="0"/>
        <w:spacing w:after="0" w:line="269" w:lineRule="exact"/>
        <w:ind w:left="660"/>
        <w:contextualSpacing w:val="0"/>
        <w:jc w:val="both"/>
        <w:rPr>
          <w:rFonts w:cstheme="minorHAnsi"/>
        </w:rPr>
      </w:pPr>
      <w:r w:rsidRPr="002D086E">
        <w:rPr>
          <w:rFonts w:cstheme="minorHAnsi"/>
        </w:rPr>
        <w:t>Monthly precipitation</w:t>
      </w:r>
      <w:r w:rsidRPr="002D086E">
        <w:rPr>
          <w:rFonts w:cstheme="minorHAnsi"/>
          <w:spacing w:val="-2"/>
        </w:rPr>
        <w:t xml:space="preserve"> </w:t>
      </w:r>
      <w:r w:rsidRPr="002D086E">
        <w:rPr>
          <w:rFonts w:cstheme="minorHAnsi"/>
        </w:rPr>
        <w:t>amounts.</w:t>
      </w:r>
    </w:p>
    <w:p w14:paraId="70745065" w14:textId="2BD6F5D7" w:rsidR="000463CB" w:rsidRPr="002D086E" w:rsidRDefault="000463CB" w:rsidP="00E62831">
      <w:pPr>
        <w:widowControl w:val="0"/>
        <w:tabs>
          <w:tab w:val="left" w:pos="660"/>
          <w:tab w:val="left" w:pos="661"/>
        </w:tabs>
        <w:autoSpaceDE w:val="0"/>
        <w:autoSpaceDN w:val="0"/>
        <w:spacing w:after="0" w:line="269" w:lineRule="exact"/>
        <w:ind w:left="299"/>
        <w:jc w:val="both"/>
        <w:rPr>
          <w:rFonts w:cstheme="minorHAnsi"/>
        </w:rPr>
      </w:pPr>
    </w:p>
    <w:p w14:paraId="393D22DC" w14:textId="77777777" w:rsidR="000463CB" w:rsidRPr="00E62831" w:rsidRDefault="000463CB" w:rsidP="00E62831">
      <w:pPr>
        <w:pStyle w:val="BodyText"/>
        <w:spacing w:before="9"/>
        <w:jc w:val="both"/>
        <w:rPr>
          <w:rFonts w:asciiTheme="minorHAnsi" w:hAnsiTheme="minorHAnsi" w:cstheme="minorHAnsi"/>
        </w:rPr>
      </w:pPr>
    </w:p>
    <w:p w14:paraId="796F289C" w14:textId="77777777" w:rsidR="000463CB" w:rsidRPr="00E62831" w:rsidRDefault="000463CB" w:rsidP="00E62831">
      <w:pPr>
        <w:pStyle w:val="BodyText"/>
        <w:ind w:left="300"/>
        <w:jc w:val="both"/>
        <w:rPr>
          <w:rFonts w:asciiTheme="minorHAnsi" w:hAnsiTheme="minorHAnsi" w:cstheme="minorHAnsi"/>
        </w:rPr>
      </w:pPr>
      <w:r w:rsidRPr="00E62831">
        <w:rPr>
          <w:rFonts w:asciiTheme="minorHAnsi" w:hAnsiTheme="minorHAnsi" w:cstheme="minorHAnsi"/>
        </w:rPr>
        <w:t>TRQs (in addition to the MRQs):</w:t>
      </w:r>
    </w:p>
    <w:p w14:paraId="3875EEF2" w14:textId="77777777" w:rsidR="000463CB" w:rsidRPr="00E62831" w:rsidRDefault="000463CB" w:rsidP="00E62831">
      <w:pPr>
        <w:pStyle w:val="BodyText"/>
        <w:spacing w:before="1"/>
        <w:jc w:val="both"/>
        <w:rPr>
          <w:rFonts w:asciiTheme="minorHAnsi" w:hAnsiTheme="minorHAnsi" w:cstheme="minorHAnsi"/>
        </w:rPr>
      </w:pPr>
    </w:p>
    <w:p w14:paraId="1F5C8093" w14:textId="77777777" w:rsidR="000463CB" w:rsidRPr="002D086E" w:rsidRDefault="000463CB" w:rsidP="00E62831">
      <w:pPr>
        <w:pStyle w:val="ListParagraph"/>
        <w:widowControl w:val="0"/>
        <w:numPr>
          <w:ilvl w:val="0"/>
          <w:numId w:val="7"/>
        </w:numPr>
        <w:tabs>
          <w:tab w:val="left" w:pos="660"/>
          <w:tab w:val="left" w:pos="661"/>
        </w:tabs>
        <w:autoSpaceDE w:val="0"/>
        <w:autoSpaceDN w:val="0"/>
        <w:spacing w:before="1" w:after="0" w:line="269" w:lineRule="exact"/>
        <w:ind w:left="660"/>
        <w:contextualSpacing w:val="0"/>
        <w:jc w:val="both"/>
        <w:rPr>
          <w:rFonts w:cstheme="minorHAnsi"/>
        </w:rPr>
      </w:pPr>
      <w:r w:rsidRPr="002D086E">
        <w:rPr>
          <w:rFonts w:cstheme="minorHAnsi"/>
        </w:rPr>
        <w:t>Pressure: monthly mean values, station level and mean sea</w:t>
      </w:r>
      <w:r w:rsidRPr="002D086E">
        <w:rPr>
          <w:rFonts w:cstheme="minorHAnsi"/>
          <w:spacing w:val="-1"/>
        </w:rPr>
        <w:t xml:space="preserve"> </w:t>
      </w:r>
      <w:r w:rsidRPr="002D086E">
        <w:rPr>
          <w:rFonts w:cstheme="minorHAnsi"/>
        </w:rPr>
        <w:t>level.</w:t>
      </w:r>
    </w:p>
    <w:p w14:paraId="3ABD45E5" w14:textId="77777777" w:rsidR="000463CB" w:rsidRPr="002D086E" w:rsidRDefault="000463CB" w:rsidP="00E62831">
      <w:pPr>
        <w:pStyle w:val="ListParagraph"/>
        <w:widowControl w:val="0"/>
        <w:numPr>
          <w:ilvl w:val="0"/>
          <w:numId w:val="7"/>
        </w:numPr>
        <w:tabs>
          <w:tab w:val="left" w:pos="660"/>
          <w:tab w:val="left" w:pos="661"/>
        </w:tabs>
        <w:autoSpaceDE w:val="0"/>
        <w:autoSpaceDN w:val="0"/>
        <w:spacing w:after="0" w:line="268" w:lineRule="exact"/>
        <w:ind w:left="660"/>
        <w:contextualSpacing w:val="0"/>
        <w:jc w:val="both"/>
        <w:rPr>
          <w:rFonts w:cstheme="minorHAnsi"/>
        </w:rPr>
      </w:pPr>
      <w:r w:rsidRPr="002D086E">
        <w:rPr>
          <w:rFonts w:cstheme="minorHAnsi"/>
        </w:rPr>
        <w:t>Daily precipitation</w:t>
      </w:r>
      <w:r w:rsidRPr="002D086E">
        <w:rPr>
          <w:rFonts w:cstheme="minorHAnsi"/>
          <w:spacing w:val="-1"/>
        </w:rPr>
        <w:t xml:space="preserve"> </w:t>
      </w:r>
      <w:r w:rsidRPr="002D086E">
        <w:rPr>
          <w:rFonts w:cstheme="minorHAnsi"/>
        </w:rPr>
        <w:t>amounts</w:t>
      </w:r>
    </w:p>
    <w:p w14:paraId="0A2F2867" w14:textId="77777777" w:rsidR="000463CB" w:rsidRPr="002D086E" w:rsidRDefault="000463CB" w:rsidP="00E62831">
      <w:pPr>
        <w:pStyle w:val="ListParagraph"/>
        <w:widowControl w:val="0"/>
        <w:numPr>
          <w:ilvl w:val="0"/>
          <w:numId w:val="7"/>
        </w:numPr>
        <w:tabs>
          <w:tab w:val="left" w:pos="659"/>
          <w:tab w:val="left" w:pos="661"/>
        </w:tabs>
        <w:autoSpaceDE w:val="0"/>
        <w:autoSpaceDN w:val="0"/>
        <w:spacing w:before="1" w:after="0" w:line="237" w:lineRule="auto"/>
        <w:ind w:right="1459" w:hanging="340"/>
        <w:contextualSpacing w:val="0"/>
        <w:jc w:val="both"/>
        <w:rPr>
          <w:rFonts w:cstheme="minorHAnsi"/>
        </w:rPr>
      </w:pPr>
      <w:r w:rsidRPr="002D086E">
        <w:rPr>
          <w:rFonts w:cstheme="minorHAnsi"/>
        </w:rPr>
        <w:t>Precipitation: number of days with precipitation if daily precipitation amounts are not provided.</w:t>
      </w:r>
    </w:p>
    <w:p w14:paraId="4E2DB276" w14:textId="77777777" w:rsidR="000463CB" w:rsidRPr="002D086E" w:rsidRDefault="000463CB" w:rsidP="00E62831">
      <w:pPr>
        <w:pStyle w:val="ListParagraph"/>
        <w:widowControl w:val="0"/>
        <w:numPr>
          <w:ilvl w:val="0"/>
          <w:numId w:val="7"/>
        </w:numPr>
        <w:tabs>
          <w:tab w:val="left" w:pos="660"/>
          <w:tab w:val="left" w:pos="661"/>
        </w:tabs>
        <w:autoSpaceDE w:val="0"/>
        <w:autoSpaceDN w:val="0"/>
        <w:spacing w:before="1" w:after="0" w:line="269" w:lineRule="exact"/>
        <w:ind w:left="660"/>
        <w:contextualSpacing w:val="0"/>
        <w:jc w:val="both"/>
        <w:rPr>
          <w:rFonts w:cstheme="minorHAnsi"/>
        </w:rPr>
      </w:pPr>
      <w:r w:rsidRPr="002D086E">
        <w:rPr>
          <w:rFonts w:cstheme="minorHAnsi"/>
        </w:rPr>
        <w:t>Temperature: daily mean, minimum and maximum.</w:t>
      </w:r>
    </w:p>
    <w:p w14:paraId="4A2437CD" w14:textId="77777777" w:rsidR="000463CB" w:rsidRPr="002D086E" w:rsidRDefault="000463CB" w:rsidP="00E62831">
      <w:pPr>
        <w:pStyle w:val="ListParagraph"/>
        <w:widowControl w:val="0"/>
        <w:numPr>
          <w:ilvl w:val="0"/>
          <w:numId w:val="7"/>
        </w:numPr>
        <w:tabs>
          <w:tab w:val="left" w:pos="660"/>
          <w:tab w:val="left" w:pos="661"/>
        </w:tabs>
        <w:autoSpaceDE w:val="0"/>
        <w:autoSpaceDN w:val="0"/>
        <w:spacing w:after="0" w:line="268" w:lineRule="exact"/>
        <w:ind w:left="660"/>
        <w:contextualSpacing w:val="0"/>
        <w:jc w:val="both"/>
        <w:rPr>
          <w:rFonts w:cstheme="minorHAnsi"/>
        </w:rPr>
      </w:pPr>
      <w:r w:rsidRPr="002D086E">
        <w:rPr>
          <w:rFonts w:cstheme="minorHAnsi"/>
        </w:rPr>
        <w:t>Pressure: daily mean, station level and mean sea</w:t>
      </w:r>
      <w:r w:rsidRPr="002D086E">
        <w:rPr>
          <w:rFonts w:cstheme="minorHAnsi"/>
          <w:spacing w:val="-2"/>
        </w:rPr>
        <w:t xml:space="preserve"> </w:t>
      </w:r>
      <w:r w:rsidRPr="002D086E">
        <w:rPr>
          <w:rFonts w:cstheme="minorHAnsi"/>
        </w:rPr>
        <w:t>level.</w:t>
      </w:r>
    </w:p>
    <w:p w14:paraId="6A7D92A1" w14:textId="77777777" w:rsidR="000463CB" w:rsidRPr="002D086E" w:rsidRDefault="000463CB" w:rsidP="00E62831">
      <w:pPr>
        <w:pStyle w:val="ListParagraph"/>
        <w:widowControl w:val="0"/>
        <w:numPr>
          <w:ilvl w:val="0"/>
          <w:numId w:val="7"/>
        </w:numPr>
        <w:tabs>
          <w:tab w:val="left" w:pos="659"/>
          <w:tab w:val="left" w:pos="661"/>
        </w:tabs>
        <w:autoSpaceDE w:val="0"/>
        <w:autoSpaceDN w:val="0"/>
        <w:spacing w:before="2" w:after="0" w:line="237" w:lineRule="auto"/>
        <w:ind w:right="1462" w:hanging="340"/>
        <w:contextualSpacing w:val="0"/>
        <w:jc w:val="both"/>
        <w:rPr>
          <w:rFonts w:cstheme="minorHAnsi"/>
        </w:rPr>
      </w:pPr>
      <w:proofErr w:type="spellStart"/>
      <w:r w:rsidRPr="002D086E">
        <w:rPr>
          <w:rFonts w:cstheme="minorHAnsi"/>
        </w:rPr>
        <w:t>Subdaily</w:t>
      </w:r>
      <w:proofErr w:type="spellEnd"/>
      <w:r w:rsidRPr="002D086E">
        <w:rPr>
          <w:rFonts w:cstheme="minorHAnsi"/>
        </w:rPr>
        <w:t xml:space="preserve"> data: historical and real-time synoptic or hourly reports, with all the data normally reported in synoptic transmissions, for the full period of record for the</w:t>
      </w:r>
      <w:r w:rsidRPr="002D086E">
        <w:rPr>
          <w:rFonts w:cstheme="minorHAnsi"/>
          <w:spacing w:val="-17"/>
        </w:rPr>
        <w:t xml:space="preserve"> </w:t>
      </w:r>
      <w:r w:rsidRPr="002D086E">
        <w:rPr>
          <w:rFonts w:cstheme="minorHAnsi"/>
        </w:rPr>
        <w:t>station.</w:t>
      </w:r>
    </w:p>
    <w:p w14:paraId="6E6F1E8D" w14:textId="77777777" w:rsidR="000463CB" w:rsidRPr="00E62831" w:rsidRDefault="000463CB" w:rsidP="00E62831">
      <w:pPr>
        <w:pStyle w:val="BodyText"/>
        <w:jc w:val="both"/>
        <w:rPr>
          <w:rFonts w:asciiTheme="minorHAnsi" w:hAnsiTheme="minorHAnsi" w:cstheme="minorHAnsi"/>
        </w:rPr>
      </w:pPr>
    </w:p>
    <w:p w14:paraId="37F3EEED" w14:textId="77777777" w:rsidR="000463CB" w:rsidRPr="00E62831" w:rsidRDefault="000463CB" w:rsidP="00E62831">
      <w:pPr>
        <w:pStyle w:val="BodyText"/>
        <w:ind w:left="300" w:right="1512"/>
        <w:jc w:val="both"/>
        <w:rPr>
          <w:rFonts w:asciiTheme="minorHAnsi" w:hAnsiTheme="minorHAnsi" w:cstheme="minorHAnsi"/>
        </w:rPr>
      </w:pPr>
      <w:r w:rsidRPr="00E62831">
        <w:rPr>
          <w:rFonts w:asciiTheme="minorHAnsi" w:hAnsiTheme="minorHAnsi" w:cstheme="minorHAnsi"/>
        </w:rPr>
        <w:t>If only monthly values are available, the number of days used in the calculation should be provided as a Minimum Requirement.</w:t>
      </w:r>
    </w:p>
    <w:p w14:paraId="2421BC90" w14:textId="77777777" w:rsidR="000463CB" w:rsidRPr="00E62831" w:rsidRDefault="000463CB" w:rsidP="00E62831">
      <w:pPr>
        <w:pStyle w:val="BodyText"/>
        <w:spacing w:before="11"/>
        <w:jc w:val="both"/>
        <w:rPr>
          <w:rFonts w:asciiTheme="minorHAnsi" w:hAnsiTheme="minorHAnsi" w:cstheme="minorHAnsi"/>
        </w:rPr>
      </w:pPr>
    </w:p>
    <w:p w14:paraId="3D4B9836" w14:textId="77777777" w:rsidR="000463CB" w:rsidRPr="00E62831" w:rsidRDefault="000463CB" w:rsidP="00E62831">
      <w:pPr>
        <w:pStyle w:val="BodyText"/>
        <w:ind w:left="300"/>
        <w:jc w:val="both"/>
        <w:rPr>
          <w:rFonts w:asciiTheme="minorHAnsi" w:hAnsiTheme="minorHAnsi" w:cstheme="minorHAnsi"/>
        </w:rPr>
      </w:pPr>
      <w:r w:rsidRPr="00E62831">
        <w:rPr>
          <w:rFonts w:asciiTheme="minorHAnsi" w:hAnsiTheme="minorHAnsi" w:cstheme="minorHAnsi"/>
          <w:u w:val="single"/>
        </w:rPr>
        <w:t>Note:</w:t>
      </w:r>
    </w:p>
    <w:p w14:paraId="181B166D" w14:textId="77777777" w:rsidR="000463CB" w:rsidRPr="00E62831" w:rsidRDefault="000463CB" w:rsidP="002D086E">
      <w:pPr>
        <w:pStyle w:val="BodyText"/>
        <w:ind w:left="299" w:right="1460"/>
        <w:jc w:val="both"/>
        <w:rPr>
          <w:rFonts w:asciiTheme="minorHAnsi" w:hAnsiTheme="minorHAnsi" w:cstheme="minorHAnsi"/>
        </w:rPr>
      </w:pPr>
      <w:r w:rsidRPr="00E62831">
        <w:rPr>
          <w:rFonts w:asciiTheme="minorHAnsi" w:hAnsiTheme="minorHAnsi" w:cstheme="minorHAnsi"/>
        </w:rPr>
        <w:t>Generating a monthly CLIMAT report is a Minimum Requirement for stations. CLIMAT reports are defined in WMO-No 306 (The Manual on Codes) as FM-71-XII CLIMAT. All sections of CLIMAT reports should be prepared and distributed, e.g. via the GTS. Further guidance on the preparation of the CLIMAT report can be found in the publication WMO/TD- No. 1188 and in GCOS-127</w:t>
      </w:r>
      <w:hyperlink w:anchor="_bookmark2" w:history="1">
        <w:r w:rsidRPr="00E62831">
          <w:rPr>
            <w:rFonts w:asciiTheme="minorHAnsi" w:hAnsiTheme="minorHAnsi" w:cstheme="minorHAnsi"/>
            <w:vertAlign w:val="superscript"/>
          </w:rPr>
          <w:t>3</w:t>
        </w:r>
      </w:hyperlink>
      <w:r w:rsidRPr="00E62831">
        <w:rPr>
          <w:rFonts w:asciiTheme="minorHAnsi" w:hAnsiTheme="minorHAnsi" w:cstheme="minorHAnsi"/>
        </w:rPr>
        <w:t>. For best quality, the CLIMAT reports should be prepared by the station operations staff. (Adherence to the rules for dissemination of monthly CLIMAT</w:t>
      </w:r>
    </w:p>
    <w:p w14:paraId="62382006" w14:textId="77777777" w:rsidR="000463CB" w:rsidRPr="00E62831" w:rsidRDefault="000463CB" w:rsidP="00E62831">
      <w:pPr>
        <w:pStyle w:val="BodyText"/>
        <w:jc w:val="both"/>
        <w:rPr>
          <w:rFonts w:asciiTheme="minorHAnsi" w:hAnsiTheme="minorHAnsi" w:cstheme="minorHAnsi"/>
        </w:rPr>
      </w:pPr>
    </w:p>
    <w:p w14:paraId="1E316A83" w14:textId="77777777" w:rsidR="000463CB" w:rsidRPr="00E62831" w:rsidRDefault="000463CB" w:rsidP="00E62831">
      <w:pPr>
        <w:pStyle w:val="BodyText"/>
        <w:jc w:val="both"/>
        <w:rPr>
          <w:rFonts w:asciiTheme="minorHAnsi" w:hAnsiTheme="minorHAnsi" w:cstheme="minorHAnsi"/>
        </w:rPr>
      </w:pPr>
    </w:p>
    <w:p w14:paraId="68CFDF61" w14:textId="1068C7F2" w:rsidR="000463CB" w:rsidRPr="00E62831" w:rsidRDefault="000463CB" w:rsidP="00E62831">
      <w:pPr>
        <w:pStyle w:val="BodyText"/>
        <w:spacing w:before="6"/>
        <w:jc w:val="both"/>
        <w:rPr>
          <w:rFonts w:asciiTheme="minorHAnsi" w:hAnsiTheme="minorHAnsi" w:cstheme="minorHAnsi"/>
        </w:rPr>
      </w:pPr>
      <w:r w:rsidRPr="00E62831">
        <w:rPr>
          <w:rFonts w:asciiTheme="minorHAnsi" w:hAnsiTheme="minorHAnsi" w:cstheme="minorHAnsi"/>
          <w:noProof/>
        </w:rPr>
        <mc:AlternateContent>
          <mc:Choice Requires="wps">
            <w:drawing>
              <wp:anchor distT="0" distB="0" distL="0" distR="0" simplePos="0" relativeHeight="251659264" behindDoc="1" locked="0" layoutInCell="1" allowOverlap="1" wp14:anchorId="568A4515" wp14:editId="266F219A">
                <wp:simplePos x="0" y="0"/>
                <wp:positionH relativeFrom="page">
                  <wp:posOffset>914400</wp:posOffset>
                </wp:positionH>
                <wp:positionV relativeFrom="paragraph">
                  <wp:posOffset>120015</wp:posOffset>
                </wp:positionV>
                <wp:extent cx="1828800" cy="1270"/>
                <wp:effectExtent l="9525" t="5080" r="9525" b="12700"/>
                <wp:wrapTopAndBottom/>
                <wp:docPr id="124793910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6468A9" id="Freeform: Shape 2" o:spid="_x0000_s1026" style="position:absolute;margin-left:1in;margin-top:9.4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" path="m,l2880,e" filled="f" strokeweight=".54pt">
                <v:path arrowok="t" o:connecttype="custom" o:connectlocs="0,0;1828800,0" o:connectangles="0,0"/>
                <w10:wrap type="topAndBottom" anchorx="page"/>
              </v:shape>
            </w:pict>
          </mc:Fallback>
        </mc:AlternateContent>
      </w:r>
    </w:p>
    <w:p w14:paraId="09B98A7F" w14:textId="77777777" w:rsidR="000463CB" w:rsidRPr="00E62831" w:rsidRDefault="000463CB" w:rsidP="00E62831">
      <w:pPr>
        <w:pStyle w:val="ListParagraph"/>
        <w:widowControl w:val="0"/>
        <w:numPr>
          <w:ilvl w:val="0"/>
          <w:numId w:val="5"/>
        </w:numPr>
        <w:tabs>
          <w:tab w:val="left" w:pos="428"/>
        </w:tabs>
        <w:autoSpaceDE w:val="0"/>
        <w:autoSpaceDN w:val="0"/>
        <w:spacing w:before="28" w:after="0" w:line="249" w:lineRule="auto"/>
        <w:ind w:right="3656" w:hanging="1"/>
        <w:contextualSpacing w:val="0"/>
        <w:jc w:val="both"/>
        <w:rPr>
          <w:rFonts w:cstheme="minorHAnsi"/>
          <w:lang w:val="es-ES"/>
        </w:rPr>
      </w:pPr>
      <w:bookmarkStart w:id="7" w:name="_bookmark2"/>
      <w:bookmarkEnd w:id="7"/>
      <w:r w:rsidRPr="00E62831">
        <w:rPr>
          <w:rFonts w:cstheme="minorHAnsi"/>
        </w:rPr>
        <w:t>GCOS</w:t>
      </w:r>
      <w:r w:rsidRPr="00E62831">
        <w:rPr>
          <w:rFonts w:cstheme="minorHAnsi"/>
          <w:spacing w:val="-5"/>
        </w:rPr>
        <w:t xml:space="preserve"> </w:t>
      </w:r>
      <w:r w:rsidRPr="00E62831">
        <w:rPr>
          <w:rFonts w:cstheme="minorHAnsi"/>
        </w:rPr>
        <w:t>(2009):</w:t>
      </w:r>
      <w:r w:rsidRPr="00E62831">
        <w:rPr>
          <w:rFonts w:cstheme="minorHAnsi"/>
          <w:i/>
        </w:rPr>
        <w:t>Practical</w:t>
      </w:r>
      <w:r w:rsidRPr="00E62831">
        <w:rPr>
          <w:rFonts w:cstheme="minorHAnsi"/>
          <w:i/>
          <w:spacing w:val="-4"/>
        </w:rPr>
        <w:t xml:space="preserve"> </w:t>
      </w:r>
      <w:r w:rsidRPr="00E62831">
        <w:rPr>
          <w:rFonts w:cstheme="minorHAnsi"/>
          <w:i/>
        </w:rPr>
        <w:t>Help</w:t>
      </w:r>
      <w:r w:rsidRPr="00E62831">
        <w:rPr>
          <w:rFonts w:cstheme="minorHAnsi"/>
          <w:i/>
          <w:spacing w:val="-3"/>
        </w:rPr>
        <w:t xml:space="preserve"> </w:t>
      </w:r>
      <w:r w:rsidRPr="00E62831">
        <w:rPr>
          <w:rFonts w:cstheme="minorHAnsi"/>
          <w:i/>
        </w:rPr>
        <w:t>for</w:t>
      </w:r>
      <w:r w:rsidRPr="00E62831">
        <w:rPr>
          <w:rFonts w:cstheme="minorHAnsi"/>
          <w:i/>
          <w:spacing w:val="-4"/>
        </w:rPr>
        <w:t xml:space="preserve"> </w:t>
      </w:r>
      <w:r w:rsidRPr="00E62831">
        <w:rPr>
          <w:rFonts w:cstheme="minorHAnsi"/>
          <w:i/>
        </w:rPr>
        <w:t>Compiling</w:t>
      </w:r>
      <w:r w:rsidRPr="00E62831">
        <w:rPr>
          <w:rFonts w:cstheme="minorHAnsi"/>
          <w:i/>
          <w:spacing w:val="-4"/>
        </w:rPr>
        <w:t xml:space="preserve"> </w:t>
      </w:r>
      <w:r w:rsidRPr="00E62831">
        <w:rPr>
          <w:rFonts w:cstheme="minorHAnsi"/>
          <w:i/>
        </w:rPr>
        <w:t>CLIMAT</w:t>
      </w:r>
      <w:r w:rsidRPr="00E62831">
        <w:rPr>
          <w:rFonts w:cstheme="minorHAnsi"/>
          <w:i/>
          <w:spacing w:val="-4"/>
        </w:rPr>
        <w:t xml:space="preserve"> </w:t>
      </w:r>
      <w:r w:rsidRPr="00E62831">
        <w:rPr>
          <w:rFonts w:cstheme="minorHAnsi"/>
          <w:i/>
        </w:rPr>
        <w:t>Reports</w:t>
      </w:r>
      <w:r w:rsidRPr="00E62831">
        <w:rPr>
          <w:rFonts w:cstheme="minorHAnsi"/>
        </w:rPr>
        <w:t>.</w:t>
      </w:r>
      <w:r w:rsidRPr="00E62831">
        <w:rPr>
          <w:rFonts w:cstheme="minorHAnsi"/>
          <w:spacing w:val="-4"/>
        </w:rPr>
        <w:t xml:space="preserve"> </w:t>
      </w:r>
      <w:r w:rsidRPr="00E62831">
        <w:rPr>
          <w:rFonts w:cstheme="minorHAnsi"/>
          <w:lang w:val="es-ES"/>
        </w:rPr>
        <w:t>GCOS-127</w:t>
      </w:r>
      <w:r w:rsidRPr="00E62831">
        <w:rPr>
          <w:rFonts w:cstheme="minorHAnsi"/>
          <w:spacing w:val="-3"/>
          <w:lang w:val="es-ES"/>
        </w:rPr>
        <w:t xml:space="preserve"> </w:t>
      </w:r>
      <w:r w:rsidRPr="00E62831">
        <w:rPr>
          <w:rFonts w:cstheme="minorHAnsi"/>
          <w:lang w:val="es-ES"/>
        </w:rPr>
        <w:t>(WMO/TD-No.</w:t>
      </w:r>
      <w:r w:rsidRPr="00E62831">
        <w:rPr>
          <w:rFonts w:cstheme="minorHAnsi"/>
          <w:spacing w:val="-5"/>
          <w:lang w:val="es-ES"/>
        </w:rPr>
        <w:t xml:space="preserve"> </w:t>
      </w:r>
      <w:r w:rsidRPr="00E62831">
        <w:rPr>
          <w:rFonts w:cstheme="minorHAnsi"/>
          <w:lang w:val="es-ES"/>
        </w:rPr>
        <w:t>1477),</w:t>
      </w:r>
      <w:r w:rsidRPr="00E62831">
        <w:rPr>
          <w:rFonts w:cstheme="minorHAnsi"/>
          <w:color w:val="0000FF"/>
          <w:u w:val="single" w:color="0000FF"/>
          <w:lang w:val="es-ES"/>
        </w:rPr>
        <w:t xml:space="preserve"> </w:t>
      </w:r>
      <w:hyperlink r:id="rId9">
        <w:r w:rsidRPr="00E62831">
          <w:rPr>
            <w:rFonts w:cstheme="minorHAnsi"/>
            <w:color w:val="0000FF"/>
            <w:u w:val="single" w:color="0000FF"/>
            <w:lang w:val="es-ES"/>
          </w:rPr>
          <w:t>http://www.wmo.int/pages/prog/gcos/Publications/GCOS-127_EN.pdf</w:t>
        </w:r>
      </w:hyperlink>
    </w:p>
    <w:p w14:paraId="2E02E016" w14:textId="77777777" w:rsidR="000463CB" w:rsidRPr="00E62831" w:rsidRDefault="000463CB" w:rsidP="00E62831">
      <w:pPr>
        <w:pStyle w:val="BodyText"/>
        <w:jc w:val="both"/>
        <w:rPr>
          <w:rFonts w:asciiTheme="minorHAnsi" w:hAnsiTheme="minorHAnsi" w:cstheme="minorHAnsi"/>
          <w:lang w:val="es-ES"/>
        </w:rPr>
      </w:pPr>
    </w:p>
    <w:p w14:paraId="3F5B7D71" w14:textId="77777777" w:rsidR="000463CB" w:rsidRPr="00E62831" w:rsidRDefault="000463CB" w:rsidP="00E62831">
      <w:pPr>
        <w:pStyle w:val="BodyText"/>
        <w:spacing w:before="3"/>
        <w:jc w:val="both"/>
        <w:rPr>
          <w:rFonts w:asciiTheme="minorHAnsi" w:hAnsiTheme="minorHAnsi" w:cstheme="minorHAnsi"/>
          <w:lang w:val="es-ES"/>
        </w:rPr>
      </w:pPr>
    </w:p>
    <w:p w14:paraId="33E81C89" w14:textId="77777777" w:rsidR="000463CB" w:rsidRPr="00E62831" w:rsidRDefault="000463CB" w:rsidP="00E62831">
      <w:pPr>
        <w:spacing w:before="94"/>
        <w:ind w:left="574" w:right="1735"/>
        <w:jc w:val="both"/>
        <w:rPr>
          <w:rFonts w:cstheme="minorHAnsi"/>
        </w:rPr>
      </w:pPr>
      <w:r w:rsidRPr="00E62831">
        <w:rPr>
          <w:rFonts w:cstheme="minorHAnsi"/>
        </w:rPr>
        <w:t>- 5 -</w:t>
      </w:r>
    </w:p>
    <w:p w14:paraId="6A9B8E5B" w14:textId="77777777" w:rsidR="000463CB" w:rsidRPr="00E62831" w:rsidRDefault="000463CB" w:rsidP="00E62831">
      <w:pPr>
        <w:jc w:val="both"/>
        <w:rPr>
          <w:rFonts w:cstheme="minorHAnsi"/>
        </w:rPr>
        <w:sectPr w:rsidR="000463CB" w:rsidRPr="00E62831" w:rsidSect="000463CB">
          <w:pgSz w:w="11900" w:h="16840"/>
          <w:pgMar w:top="1340" w:right="0" w:bottom="280" w:left="1140" w:header="720" w:footer="720" w:gutter="0"/>
          <w:cols w:space="720"/>
        </w:sectPr>
      </w:pPr>
    </w:p>
    <w:p w14:paraId="6CB12A0C" w14:textId="77777777" w:rsidR="000463CB" w:rsidRPr="00E62831" w:rsidRDefault="000463CB" w:rsidP="002D086E">
      <w:pPr>
        <w:pStyle w:val="BodyText"/>
        <w:spacing w:before="76"/>
        <w:ind w:left="300" w:right="1459"/>
        <w:jc w:val="both"/>
        <w:rPr>
          <w:rFonts w:asciiTheme="minorHAnsi" w:hAnsiTheme="minorHAnsi" w:cstheme="minorHAnsi"/>
        </w:rPr>
      </w:pPr>
      <w:r w:rsidRPr="00E62831">
        <w:rPr>
          <w:rFonts w:asciiTheme="minorHAnsi" w:hAnsiTheme="minorHAnsi" w:cstheme="minorHAnsi"/>
        </w:rPr>
        <w:lastRenderedPageBreak/>
        <w:t>reports and individual-ascent TEMP reports includes the assignment of a WMO block and index number to the station.)</w:t>
      </w:r>
    </w:p>
    <w:p w14:paraId="63A70B43" w14:textId="77777777" w:rsidR="000463CB" w:rsidRPr="00E62831" w:rsidRDefault="000463CB" w:rsidP="00E62831">
      <w:pPr>
        <w:pStyle w:val="BodyText"/>
        <w:spacing w:before="10"/>
        <w:jc w:val="both"/>
        <w:rPr>
          <w:rFonts w:asciiTheme="minorHAnsi" w:hAnsiTheme="minorHAnsi" w:cstheme="minorHAnsi"/>
        </w:rPr>
      </w:pPr>
    </w:p>
    <w:p w14:paraId="1A6801C1" w14:textId="77777777" w:rsidR="000463CB" w:rsidRPr="00E62831" w:rsidRDefault="000463CB" w:rsidP="002D086E">
      <w:pPr>
        <w:pStyle w:val="BodyText"/>
        <w:spacing w:before="1"/>
        <w:ind w:left="300" w:right="1461"/>
        <w:jc w:val="both"/>
        <w:rPr>
          <w:rFonts w:asciiTheme="minorHAnsi" w:hAnsiTheme="minorHAnsi" w:cstheme="minorHAnsi"/>
        </w:rPr>
      </w:pPr>
      <w:r w:rsidRPr="00E62831">
        <w:rPr>
          <w:rFonts w:asciiTheme="minorHAnsi" w:hAnsiTheme="minorHAnsi" w:cstheme="minorHAnsi"/>
        </w:rPr>
        <w:t>For those GSN stations producing SYNOP reports, providing the maximum and minimum temperature and total rainfall sections of the SYNOP reports is a Target Requirement. SYNOP reports are defined in WMO-No 306 (The Manual on Codes) as FM-12-XII Ext. SYNOP.</w:t>
      </w:r>
    </w:p>
    <w:p w14:paraId="2317F89F" w14:textId="77777777" w:rsidR="000463CB" w:rsidRPr="00E62831" w:rsidRDefault="000463CB" w:rsidP="00E62831">
      <w:pPr>
        <w:pStyle w:val="BodyText"/>
        <w:spacing w:before="11"/>
        <w:jc w:val="both"/>
        <w:rPr>
          <w:rFonts w:asciiTheme="minorHAnsi" w:hAnsiTheme="minorHAnsi" w:cstheme="minorHAnsi"/>
        </w:rPr>
      </w:pPr>
    </w:p>
    <w:p w14:paraId="69A9A561" w14:textId="77777777" w:rsidR="000463CB" w:rsidRPr="002D086E" w:rsidRDefault="000463CB" w:rsidP="002D086E">
      <w:pPr>
        <w:pStyle w:val="ListParagraph"/>
        <w:widowControl w:val="0"/>
        <w:numPr>
          <w:ilvl w:val="0"/>
          <w:numId w:val="6"/>
        </w:numPr>
        <w:tabs>
          <w:tab w:val="left" w:pos="635"/>
        </w:tabs>
        <w:autoSpaceDE w:val="0"/>
        <w:autoSpaceDN w:val="0"/>
        <w:spacing w:after="0" w:line="240" w:lineRule="auto"/>
        <w:ind w:left="660" w:right="1460" w:hanging="361"/>
        <w:contextualSpacing w:val="0"/>
        <w:jc w:val="both"/>
        <w:rPr>
          <w:rFonts w:cstheme="minorHAnsi"/>
        </w:rPr>
      </w:pPr>
      <w:r w:rsidRPr="002D086E">
        <w:rPr>
          <w:rFonts w:cstheme="minorHAnsi"/>
        </w:rPr>
        <w:t xml:space="preserve">For the </w:t>
      </w:r>
      <w:r w:rsidRPr="002D086E">
        <w:rPr>
          <w:rFonts w:cstheme="minorHAnsi"/>
          <w:u w:val="single"/>
        </w:rPr>
        <w:t>GUAN</w:t>
      </w:r>
      <w:r w:rsidRPr="002D086E">
        <w:rPr>
          <w:rFonts w:cstheme="minorHAnsi"/>
        </w:rPr>
        <w:t>, the requirements should be interpreted such that every month at least one observation on each of at least 25 days should attain the MRQs. The observing frequency (1 or 2 per day) in itself is not a criterion, although the Target Requirement for observation frequency is 2 per day, in accordance with WWW regulations for radiosonde observations. Where possible, priority should be accorded to night-time ascents because these are less susceptible to radiative</w:t>
      </w:r>
      <w:r w:rsidRPr="002D086E">
        <w:rPr>
          <w:rFonts w:cstheme="minorHAnsi"/>
          <w:spacing w:val="-2"/>
        </w:rPr>
        <w:t xml:space="preserve"> </w:t>
      </w:r>
      <w:r w:rsidRPr="002D086E">
        <w:rPr>
          <w:rFonts w:cstheme="minorHAnsi"/>
        </w:rPr>
        <w:t>biases.</w:t>
      </w:r>
    </w:p>
    <w:p w14:paraId="2C3A6E3B" w14:textId="77777777" w:rsidR="000463CB" w:rsidRPr="00E62831" w:rsidRDefault="000463CB" w:rsidP="00E62831">
      <w:pPr>
        <w:pStyle w:val="BodyText"/>
        <w:jc w:val="both"/>
        <w:rPr>
          <w:rFonts w:asciiTheme="minorHAnsi" w:hAnsiTheme="minorHAnsi" w:cstheme="minorHAnsi"/>
        </w:rPr>
      </w:pPr>
    </w:p>
    <w:p w14:paraId="58A387CD" w14:textId="77777777" w:rsidR="000463CB" w:rsidRPr="00E62831" w:rsidRDefault="000463CB" w:rsidP="00E62831">
      <w:pPr>
        <w:pStyle w:val="BodyText"/>
        <w:ind w:left="300"/>
        <w:jc w:val="both"/>
        <w:rPr>
          <w:rFonts w:asciiTheme="minorHAnsi" w:hAnsiTheme="minorHAnsi" w:cstheme="minorHAnsi"/>
        </w:rPr>
      </w:pPr>
      <w:r w:rsidRPr="00E62831">
        <w:rPr>
          <w:rFonts w:asciiTheme="minorHAnsi" w:hAnsiTheme="minorHAnsi" w:cstheme="minorHAnsi"/>
        </w:rPr>
        <w:t>MRQs:</w:t>
      </w:r>
    </w:p>
    <w:p w14:paraId="149DB06C" w14:textId="77777777" w:rsidR="000463CB" w:rsidRPr="00E62831" w:rsidRDefault="000463CB" w:rsidP="00E62831">
      <w:pPr>
        <w:pStyle w:val="BodyText"/>
        <w:spacing w:before="1"/>
        <w:jc w:val="both"/>
        <w:rPr>
          <w:rFonts w:asciiTheme="minorHAnsi" w:hAnsiTheme="minorHAnsi" w:cstheme="minorHAnsi"/>
        </w:rPr>
      </w:pPr>
    </w:p>
    <w:p w14:paraId="0085D6C3" w14:textId="77777777" w:rsidR="000463CB" w:rsidRPr="002D086E" w:rsidRDefault="000463CB" w:rsidP="00E62831">
      <w:pPr>
        <w:pStyle w:val="ListParagraph"/>
        <w:widowControl w:val="0"/>
        <w:numPr>
          <w:ilvl w:val="0"/>
          <w:numId w:val="7"/>
        </w:numPr>
        <w:tabs>
          <w:tab w:val="left" w:pos="660"/>
          <w:tab w:val="left" w:pos="661"/>
        </w:tabs>
        <w:autoSpaceDE w:val="0"/>
        <w:autoSpaceDN w:val="0"/>
        <w:spacing w:before="1" w:after="0" w:line="269" w:lineRule="exact"/>
        <w:ind w:left="660"/>
        <w:contextualSpacing w:val="0"/>
        <w:jc w:val="both"/>
        <w:rPr>
          <w:rFonts w:cstheme="minorHAnsi"/>
        </w:rPr>
      </w:pPr>
      <w:r w:rsidRPr="002D086E">
        <w:rPr>
          <w:rFonts w:cstheme="minorHAnsi"/>
        </w:rPr>
        <w:t>Temperature up to</w:t>
      </w:r>
      <w:r w:rsidRPr="002D086E">
        <w:rPr>
          <w:rFonts w:cstheme="minorHAnsi"/>
          <w:spacing w:val="-1"/>
        </w:rPr>
        <w:t xml:space="preserve"> </w:t>
      </w:r>
      <w:r w:rsidRPr="002D086E">
        <w:rPr>
          <w:rFonts w:cstheme="minorHAnsi"/>
        </w:rPr>
        <w:t>30hPa.</w:t>
      </w:r>
    </w:p>
    <w:p w14:paraId="298C9ACF" w14:textId="77777777" w:rsidR="000463CB" w:rsidRPr="002D086E" w:rsidRDefault="000463CB" w:rsidP="00E62831">
      <w:pPr>
        <w:pStyle w:val="ListParagraph"/>
        <w:widowControl w:val="0"/>
        <w:numPr>
          <w:ilvl w:val="0"/>
          <w:numId w:val="7"/>
        </w:numPr>
        <w:tabs>
          <w:tab w:val="left" w:pos="660"/>
          <w:tab w:val="left" w:pos="661"/>
        </w:tabs>
        <w:autoSpaceDE w:val="0"/>
        <w:autoSpaceDN w:val="0"/>
        <w:spacing w:after="0" w:line="268" w:lineRule="exact"/>
        <w:ind w:left="660"/>
        <w:contextualSpacing w:val="0"/>
        <w:jc w:val="both"/>
        <w:rPr>
          <w:rFonts w:cstheme="minorHAnsi"/>
        </w:rPr>
      </w:pPr>
      <w:r w:rsidRPr="002D086E">
        <w:rPr>
          <w:rFonts w:cstheme="minorHAnsi"/>
        </w:rPr>
        <w:t>Humidity up to the tropopause.</w:t>
      </w:r>
    </w:p>
    <w:p w14:paraId="121BB1DF" w14:textId="77777777" w:rsidR="000463CB" w:rsidRPr="002D086E" w:rsidRDefault="000463CB" w:rsidP="00E62831">
      <w:pPr>
        <w:pStyle w:val="ListParagraph"/>
        <w:widowControl w:val="0"/>
        <w:numPr>
          <w:ilvl w:val="0"/>
          <w:numId w:val="7"/>
        </w:numPr>
        <w:tabs>
          <w:tab w:val="left" w:pos="660"/>
          <w:tab w:val="left" w:pos="661"/>
        </w:tabs>
        <w:autoSpaceDE w:val="0"/>
        <w:autoSpaceDN w:val="0"/>
        <w:spacing w:after="0" w:line="269" w:lineRule="exact"/>
        <w:ind w:left="660"/>
        <w:contextualSpacing w:val="0"/>
        <w:jc w:val="both"/>
        <w:rPr>
          <w:rFonts w:cstheme="minorHAnsi"/>
        </w:rPr>
      </w:pPr>
      <w:r w:rsidRPr="002D086E">
        <w:rPr>
          <w:rFonts w:cstheme="minorHAnsi"/>
        </w:rPr>
        <w:t>Wind direction and speed up to 30</w:t>
      </w:r>
      <w:r w:rsidRPr="002D086E">
        <w:rPr>
          <w:rFonts w:cstheme="minorHAnsi"/>
          <w:spacing w:val="-1"/>
        </w:rPr>
        <w:t xml:space="preserve"> </w:t>
      </w:r>
      <w:proofErr w:type="spellStart"/>
      <w:r w:rsidRPr="002D086E">
        <w:rPr>
          <w:rFonts w:cstheme="minorHAnsi"/>
        </w:rPr>
        <w:t>hPa</w:t>
      </w:r>
      <w:proofErr w:type="spellEnd"/>
      <w:r w:rsidRPr="002D086E">
        <w:rPr>
          <w:rFonts w:cstheme="minorHAnsi"/>
        </w:rPr>
        <w:t>.</w:t>
      </w:r>
    </w:p>
    <w:p w14:paraId="4B837F9B" w14:textId="77777777" w:rsidR="000463CB" w:rsidRPr="00E62831" w:rsidRDefault="000463CB" w:rsidP="00E62831">
      <w:pPr>
        <w:pStyle w:val="BodyText"/>
        <w:spacing w:before="8"/>
        <w:jc w:val="both"/>
        <w:rPr>
          <w:rFonts w:asciiTheme="minorHAnsi" w:hAnsiTheme="minorHAnsi" w:cstheme="minorHAnsi"/>
        </w:rPr>
      </w:pPr>
    </w:p>
    <w:p w14:paraId="0EC3395D" w14:textId="77777777" w:rsidR="000463CB" w:rsidRPr="00E62831" w:rsidRDefault="000463CB" w:rsidP="00E62831">
      <w:pPr>
        <w:pStyle w:val="BodyText"/>
        <w:ind w:left="300"/>
        <w:jc w:val="both"/>
        <w:rPr>
          <w:rFonts w:asciiTheme="minorHAnsi" w:hAnsiTheme="minorHAnsi" w:cstheme="minorHAnsi"/>
        </w:rPr>
      </w:pPr>
      <w:r w:rsidRPr="00E62831">
        <w:rPr>
          <w:rFonts w:asciiTheme="minorHAnsi" w:hAnsiTheme="minorHAnsi" w:cstheme="minorHAnsi"/>
        </w:rPr>
        <w:t>TRQs (in addition to the MRQs):</w:t>
      </w:r>
    </w:p>
    <w:p w14:paraId="727C4AB2" w14:textId="77777777" w:rsidR="000463CB" w:rsidRPr="00E62831" w:rsidRDefault="000463CB" w:rsidP="00E62831">
      <w:pPr>
        <w:pStyle w:val="BodyText"/>
        <w:jc w:val="both"/>
        <w:rPr>
          <w:rFonts w:asciiTheme="minorHAnsi" w:hAnsiTheme="minorHAnsi" w:cstheme="minorHAnsi"/>
        </w:rPr>
      </w:pPr>
    </w:p>
    <w:p w14:paraId="254A8B6C" w14:textId="77777777" w:rsidR="000463CB" w:rsidRPr="002D086E" w:rsidRDefault="000463CB" w:rsidP="00E62831">
      <w:pPr>
        <w:pStyle w:val="ListParagraph"/>
        <w:widowControl w:val="0"/>
        <w:numPr>
          <w:ilvl w:val="0"/>
          <w:numId w:val="7"/>
        </w:numPr>
        <w:tabs>
          <w:tab w:val="left" w:pos="660"/>
          <w:tab w:val="left" w:pos="661"/>
        </w:tabs>
        <w:autoSpaceDE w:val="0"/>
        <w:autoSpaceDN w:val="0"/>
        <w:spacing w:before="1" w:after="0" w:line="240" w:lineRule="auto"/>
        <w:ind w:left="660"/>
        <w:contextualSpacing w:val="0"/>
        <w:jc w:val="both"/>
        <w:rPr>
          <w:rFonts w:cstheme="minorHAnsi"/>
        </w:rPr>
      </w:pPr>
      <w:r w:rsidRPr="002D086E">
        <w:rPr>
          <w:rFonts w:cstheme="minorHAnsi"/>
        </w:rPr>
        <w:t>Temperature and wind up as high as</w:t>
      </w:r>
      <w:r w:rsidRPr="002D086E">
        <w:rPr>
          <w:rFonts w:cstheme="minorHAnsi"/>
          <w:spacing w:val="-1"/>
        </w:rPr>
        <w:t xml:space="preserve"> </w:t>
      </w:r>
      <w:r w:rsidRPr="002D086E">
        <w:rPr>
          <w:rFonts w:cstheme="minorHAnsi"/>
        </w:rPr>
        <w:t>possible.</w:t>
      </w:r>
    </w:p>
    <w:p w14:paraId="37D37258" w14:textId="77777777" w:rsidR="000463CB" w:rsidRPr="00E62831" w:rsidRDefault="000463CB" w:rsidP="00E62831">
      <w:pPr>
        <w:pStyle w:val="BodyText"/>
        <w:spacing w:before="8"/>
        <w:jc w:val="both"/>
        <w:rPr>
          <w:rFonts w:asciiTheme="minorHAnsi" w:hAnsiTheme="minorHAnsi" w:cstheme="minorHAnsi"/>
        </w:rPr>
      </w:pPr>
    </w:p>
    <w:p w14:paraId="45D67814" w14:textId="77777777" w:rsidR="000463CB" w:rsidRPr="00E62831" w:rsidRDefault="000463CB" w:rsidP="00E62831">
      <w:pPr>
        <w:pStyle w:val="BodyText"/>
        <w:ind w:left="300"/>
        <w:jc w:val="both"/>
        <w:rPr>
          <w:rFonts w:asciiTheme="minorHAnsi" w:hAnsiTheme="minorHAnsi" w:cstheme="minorHAnsi"/>
        </w:rPr>
      </w:pPr>
      <w:r w:rsidRPr="00E62831">
        <w:rPr>
          <w:rFonts w:asciiTheme="minorHAnsi" w:hAnsiTheme="minorHAnsi" w:cstheme="minorHAnsi"/>
          <w:u w:val="single"/>
        </w:rPr>
        <w:t>Note:</w:t>
      </w:r>
    </w:p>
    <w:p w14:paraId="4FC97680" w14:textId="77777777" w:rsidR="000463CB" w:rsidRPr="00E62831" w:rsidRDefault="000463CB" w:rsidP="002D086E">
      <w:pPr>
        <w:pStyle w:val="BodyText"/>
        <w:spacing w:before="1"/>
        <w:ind w:left="300" w:right="1460"/>
        <w:jc w:val="both"/>
        <w:rPr>
          <w:rFonts w:asciiTheme="minorHAnsi" w:hAnsiTheme="minorHAnsi" w:cstheme="minorHAnsi"/>
        </w:rPr>
      </w:pPr>
      <w:r w:rsidRPr="00E62831">
        <w:rPr>
          <w:rFonts w:asciiTheme="minorHAnsi" w:hAnsiTheme="minorHAnsi" w:cstheme="minorHAnsi"/>
        </w:rPr>
        <w:t>Generating TEMP reports is a Minimum Requirement for stations. TEMP reports are defined in WMO-No 306 (The Manual on Codes</w:t>
      </w:r>
      <w:hyperlink w:anchor="_bookmark3" w:history="1">
        <w:r w:rsidRPr="00E62831">
          <w:rPr>
            <w:rFonts w:asciiTheme="minorHAnsi" w:hAnsiTheme="minorHAnsi" w:cstheme="minorHAnsi"/>
            <w:vertAlign w:val="superscript"/>
          </w:rPr>
          <w:t>4</w:t>
        </w:r>
      </w:hyperlink>
      <w:r w:rsidRPr="00E62831">
        <w:rPr>
          <w:rFonts w:asciiTheme="minorHAnsi" w:hAnsiTheme="minorHAnsi" w:cstheme="minorHAnsi"/>
        </w:rPr>
        <w:t>, Part A, FM 35-XI Ext. TEMP) and all relevant sections should be prepared and distributed, e.g. via the GTS. Only radiosondes that have participated in WMO sponsored intercomparisons should be used.</w:t>
      </w:r>
    </w:p>
    <w:p w14:paraId="7ED3E12A" w14:textId="77777777" w:rsidR="000463CB" w:rsidRPr="00E62831" w:rsidRDefault="000463CB" w:rsidP="00E62831">
      <w:pPr>
        <w:pStyle w:val="BodyText"/>
        <w:spacing w:before="11"/>
        <w:jc w:val="both"/>
        <w:rPr>
          <w:rFonts w:asciiTheme="minorHAnsi" w:hAnsiTheme="minorHAnsi" w:cstheme="minorHAnsi"/>
        </w:rPr>
      </w:pPr>
    </w:p>
    <w:p w14:paraId="21721234" w14:textId="77777777" w:rsidR="000463CB" w:rsidRPr="00E62831" w:rsidRDefault="000463CB" w:rsidP="002D086E">
      <w:pPr>
        <w:pStyle w:val="BodyText"/>
        <w:ind w:left="300" w:right="1458"/>
        <w:jc w:val="both"/>
        <w:rPr>
          <w:rFonts w:asciiTheme="minorHAnsi" w:hAnsiTheme="minorHAnsi" w:cstheme="minorHAnsi"/>
        </w:rPr>
      </w:pPr>
      <w:r w:rsidRPr="00E62831">
        <w:rPr>
          <w:rFonts w:asciiTheme="minorHAnsi" w:hAnsiTheme="minorHAnsi" w:cstheme="minorHAnsi"/>
        </w:rPr>
        <w:t>With migration to BUFR format, transmission of the equivalent information as included at present in CLIMAT, TEMP and SYNOP reports will be required. BUFR reports are defined in WMO-No. 306 (The Manual on Codes</w:t>
      </w:r>
      <w:r w:rsidRPr="00E62831">
        <w:rPr>
          <w:rFonts w:asciiTheme="minorHAnsi" w:hAnsiTheme="minorHAnsi" w:cstheme="minorHAnsi"/>
          <w:vertAlign w:val="superscript"/>
        </w:rPr>
        <w:t>2</w:t>
      </w:r>
      <w:r w:rsidRPr="00E62831">
        <w:rPr>
          <w:rFonts w:asciiTheme="minorHAnsi" w:hAnsiTheme="minorHAnsi" w:cstheme="minorHAnsi"/>
        </w:rPr>
        <w:t>, Part B, FM 94-XIII Ext. BUFR).</w:t>
      </w:r>
    </w:p>
    <w:p w14:paraId="303117CE" w14:textId="77777777" w:rsidR="000463CB" w:rsidRPr="00E62831" w:rsidRDefault="000463CB" w:rsidP="00E62831">
      <w:pPr>
        <w:pStyle w:val="BodyText"/>
        <w:jc w:val="both"/>
        <w:rPr>
          <w:rFonts w:asciiTheme="minorHAnsi" w:hAnsiTheme="minorHAnsi" w:cstheme="minorHAnsi"/>
        </w:rPr>
      </w:pPr>
    </w:p>
    <w:p w14:paraId="666AF52D" w14:textId="77777777" w:rsidR="000463CB" w:rsidRPr="00E62831" w:rsidRDefault="000463CB" w:rsidP="00E62831">
      <w:pPr>
        <w:pStyle w:val="Heading3"/>
        <w:numPr>
          <w:ilvl w:val="1"/>
          <w:numId w:val="4"/>
        </w:numPr>
        <w:tabs>
          <w:tab w:val="left" w:pos="1008"/>
          <w:tab w:val="left" w:pos="1009"/>
        </w:tabs>
        <w:spacing w:before="208"/>
        <w:ind w:left="1440" w:hanging="710"/>
        <w:jc w:val="both"/>
        <w:rPr>
          <w:rFonts w:asciiTheme="minorHAnsi" w:hAnsiTheme="minorHAnsi" w:cstheme="minorHAnsi"/>
        </w:rPr>
      </w:pPr>
      <w:bookmarkStart w:id="8" w:name="_TOC_250008"/>
      <w:r w:rsidRPr="00E62831">
        <w:rPr>
          <w:rFonts w:asciiTheme="minorHAnsi" w:hAnsiTheme="minorHAnsi" w:cstheme="minorHAnsi"/>
          <w:u w:val="thick"/>
        </w:rPr>
        <w:t>Accuracy of</w:t>
      </w:r>
      <w:r w:rsidRPr="00E62831">
        <w:rPr>
          <w:rFonts w:asciiTheme="minorHAnsi" w:hAnsiTheme="minorHAnsi" w:cstheme="minorHAnsi"/>
          <w:spacing w:val="-4"/>
          <w:u w:val="thick"/>
        </w:rPr>
        <w:t xml:space="preserve"> </w:t>
      </w:r>
      <w:bookmarkEnd w:id="8"/>
      <w:r w:rsidRPr="00E62831">
        <w:rPr>
          <w:rFonts w:asciiTheme="minorHAnsi" w:hAnsiTheme="minorHAnsi" w:cstheme="minorHAnsi"/>
          <w:u w:val="thick"/>
        </w:rPr>
        <w:t>observations</w:t>
      </w:r>
    </w:p>
    <w:p w14:paraId="304CBA28" w14:textId="77777777" w:rsidR="000463CB" w:rsidRPr="00E62831" w:rsidRDefault="000463CB" w:rsidP="00E62831">
      <w:pPr>
        <w:pStyle w:val="BodyText"/>
        <w:spacing w:before="10"/>
        <w:jc w:val="both"/>
        <w:rPr>
          <w:rFonts w:asciiTheme="minorHAnsi" w:hAnsiTheme="minorHAnsi" w:cstheme="minorHAnsi"/>
          <w:b/>
        </w:rPr>
      </w:pPr>
    </w:p>
    <w:p w14:paraId="0A8E5F36" w14:textId="77777777" w:rsidR="000463CB" w:rsidRPr="00E62831" w:rsidRDefault="000463CB" w:rsidP="002D086E">
      <w:pPr>
        <w:pStyle w:val="BodyText"/>
        <w:spacing w:before="93"/>
        <w:ind w:left="660" w:right="1456" w:hanging="360"/>
        <w:jc w:val="both"/>
        <w:rPr>
          <w:rFonts w:asciiTheme="minorHAnsi" w:hAnsiTheme="minorHAnsi" w:cstheme="minorHAnsi"/>
        </w:rPr>
      </w:pPr>
      <w:r w:rsidRPr="00E62831">
        <w:rPr>
          <w:rFonts w:asciiTheme="minorHAnsi" w:hAnsiTheme="minorHAnsi" w:cstheme="minorHAnsi"/>
        </w:rPr>
        <w:t>(</w:t>
      </w:r>
      <w:proofErr w:type="spellStart"/>
      <w:r w:rsidRPr="00E62831">
        <w:rPr>
          <w:rFonts w:asciiTheme="minorHAnsi" w:hAnsiTheme="minorHAnsi" w:cstheme="minorHAnsi"/>
        </w:rPr>
        <w:t>i</w:t>
      </w:r>
      <w:proofErr w:type="spellEnd"/>
      <w:r w:rsidRPr="00E62831">
        <w:rPr>
          <w:rFonts w:asciiTheme="minorHAnsi" w:hAnsiTheme="minorHAnsi" w:cstheme="minorHAnsi"/>
        </w:rPr>
        <w:t>) For the GSN and GUAN, the accuracy criteria are identical to the WWW requirements for synoptic observations as found in the Guide to Meteorological Instruments and Methods of Observations WMO-No 8 (‘CIMO Guide’)</w:t>
      </w:r>
      <w:hyperlink w:anchor="_bookmark4" w:history="1">
        <w:r w:rsidRPr="00E62831">
          <w:rPr>
            <w:rFonts w:asciiTheme="minorHAnsi" w:hAnsiTheme="minorHAnsi" w:cstheme="minorHAnsi"/>
            <w:vertAlign w:val="superscript"/>
          </w:rPr>
          <w:t>5</w:t>
        </w:r>
      </w:hyperlink>
      <w:r w:rsidRPr="00E62831">
        <w:rPr>
          <w:rFonts w:asciiTheme="minorHAnsi" w:hAnsiTheme="minorHAnsi" w:cstheme="minorHAnsi"/>
        </w:rPr>
        <w:t>.</w:t>
      </w:r>
    </w:p>
    <w:p w14:paraId="12E74375" w14:textId="77777777" w:rsidR="000463CB" w:rsidRPr="00E62831" w:rsidRDefault="000463CB" w:rsidP="00E62831">
      <w:pPr>
        <w:pStyle w:val="BodyText"/>
        <w:spacing w:before="1"/>
        <w:jc w:val="both"/>
        <w:rPr>
          <w:rFonts w:asciiTheme="minorHAnsi" w:hAnsiTheme="minorHAnsi" w:cstheme="minorHAnsi"/>
        </w:rPr>
      </w:pPr>
    </w:p>
    <w:p w14:paraId="4D1392C1" w14:textId="77777777" w:rsidR="000463CB" w:rsidRPr="00E62831" w:rsidRDefault="000463CB" w:rsidP="00E62831">
      <w:pPr>
        <w:pStyle w:val="Heading3"/>
        <w:numPr>
          <w:ilvl w:val="1"/>
          <w:numId w:val="4"/>
        </w:numPr>
        <w:tabs>
          <w:tab w:val="left" w:pos="1008"/>
          <w:tab w:val="left" w:pos="1010"/>
        </w:tabs>
        <w:ind w:left="1009" w:hanging="710"/>
        <w:jc w:val="both"/>
        <w:rPr>
          <w:rFonts w:asciiTheme="minorHAnsi" w:hAnsiTheme="minorHAnsi" w:cstheme="minorHAnsi"/>
        </w:rPr>
      </w:pPr>
      <w:bookmarkStart w:id="9" w:name="_TOC_250007"/>
      <w:r w:rsidRPr="00E62831">
        <w:rPr>
          <w:rFonts w:asciiTheme="minorHAnsi" w:hAnsiTheme="minorHAnsi" w:cstheme="minorHAnsi"/>
          <w:u w:val="thick"/>
        </w:rPr>
        <w:t>Recommended procedure in case of transmission</w:t>
      </w:r>
      <w:r w:rsidRPr="00E62831">
        <w:rPr>
          <w:rFonts w:asciiTheme="minorHAnsi" w:hAnsiTheme="minorHAnsi" w:cstheme="minorHAnsi"/>
          <w:spacing w:val="-1"/>
          <w:u w:val="thick"/>
        </w:rPr>
        <w:t xml:space="preserve"> </w:t>
      </w:r>
      <w:bookmarkEnd w:id="9"/>
      <w:r w:rsidRPr="00E62831">
        <w:rPr>
          <w:rFonts w:asciiTheme="minorHAnsi" w:hAnsiTheme="minorHAnsi" w:cstheme="minorHAnsi"/>
          <w:u w:val="thick"/>
        </w:rPr>
        <w:t>failures</w:t>
      </w:r>
    </w:p>
    <w:p w14:paraId="02F1D93F" w14:textId="77777777" w:rsidR="000463CB" w:rsidRPr="00E62831" w:rsidRDefault="000463CB" w:rsidP="00E62831">
      <w:pPr>
        <w:pStyle w:val="BodyText"/>
        <w:spacing w:before="10"/>
        <w:jc w:val="both"/>
        <w:rPr>
          <w:rFonts w:asciiTheme="minorHAnsi" w:hAnsiTheme="minorHAnsi" w:cstheme="minorHAnsi"/>
          <w:b/>
        </w:rPr>
      </w:pPr>
    </w:p>
    <w:p w14:paraId="13280547" w14:textId="77777777" w:rsidR="000463CB" w:rsidRPr="00E62831" w:rsidRDefault="000463CB" w:rsidP="002D086E">
      <w:pPr>
        <w:pStyle w:val="BodyText"/>
        <w:spacing w:before="93"/>
        <w:ind w:left="299" w:right="1460"/>
        <w:jc w:val="both"/>
        <w:rPr>
          <w:rFonts w:asciiTheme="minorHAnsi" w:hAnsiTheme="minorHAnsi" w:cstheme="minorHAnsi"/>
        </w:rPr>
      </w:pPr>
      <w:r w:rsidRPr="00E62831">
        <w:rPr>
          <w:rFonts w:asciiTheme="minorHAnsi" w:hAnsiTheme="minorHAnsi" w:cstheme="minorHAnsi"/>
        </w:rPr>
        <w:t>Regular submission of all reports (CLIMAT, SYNOP, TEMP, as appropriate) is a Minimum Requirement. Global distribution of submitted reports can e.g. be achieved through the GTS. In case of GTS failures, other means (mail, facsimile, electronic mail, etc.) should be used.</w:t>
      </w:r>
    </w:p>
    <w:p w14:paraId="015F41E7" w14:textId="77777777" w:rsidR="000463CB" w:rsidRPr="00E62831" w:rsidRDefault="000463CB" w:rsidP="00E62831">
      <w:pPr>
        <w:pStyle w:val="BodyText"/>
        <w:jc w:val="both"/>
        <w:rPr>
          <w:rFonts w:asciiTheme="minorHAnsi" w:hAnsiTheme="minorHAnsi" w:cstheme="minorHAnsi"/>
        </w:rPr>
      </w:pPr>
    </w:p>
    <w:p w14:paraId="7C73A4AF" w14:textId="77777777" w:rsidR="000463CB" w:rsidRPr="00E62831" w:rsidRDefault="000463CB" w:rsidP="00E62831">
      <w:pPr>
        <w:pStyle w:val="BodyText"/>
        <w:jc w:val="both"/>
        <w:rPr>
          <w:rFonts w:asciiTheme="minorHAnsi" w:hAnsiTheme="minorHAnsi" w:cstheme="minorHAnsi"/>
        </w:rPr>
      </w:pPr>
    </w:p>
    <w:p w14:paraId="7B81DA70" w14:textId="5F28630B" w:rsidR="000463CB" w:rsidRPr="00E62831" w:rsidRDefault="000463CB" w:rsidP="00E62831">
      <w:pPr>
        <w:pStyle w:val="BodyText"/>
        <w:spacing w:before="2"/>
        <w:jc w:val="both"/>
        <w:rPr>
          <w:rFonts w:asciiTheme="minorHAnsi" w:hAnsiTheme="minorHAnsi" w:cstheme="minorHAnsi"/>
        </w:rPr>
      </w:pPr>
      <w:r w:rsidRPr="00E62831">
        <w:rPr>
          <w:rFonts w:asciiTheme="minorHAnsi" w:hAnsiTheme="minorHAnsi" w:cstheme="minorHAnsi"/>
          <w:noProof/>
        </w:rPr>
        <mc:AlternateContent>
          <mc:Choice Requires="wps">
            <w:drawing>
              <wp:anchor distT="0" distB="0" distL="0" distR="0" simplePos="0" relativeHeight="251660288" behindDoc="1" locked="0" layoutInCell="1" allowOverlap="1" wp14:anchorId="11892992" wp14:editId="32401312">
                <wp:simplePos x="0" y="0"/>
                <wp:positionH relativeFrom="page">
                  <wp:posOffset>914400</wp:posOffset>
                </wp:positionH>
                <wp:positionV relativeFrom="paragraph">
                  <wp:posOffset>205740</wp:posOffset>
                </wp:positionV>
                <wp:extent cx="1828800" cy="1270"/>
                <wp:effectExtent l="9525" t="11430" r="9525" b="6350"/>
                <wp:wrapTopAndBottom/>
                <wp:docPr id="44708836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D7C966" id="Freeform: Shape 1" o:spid="_x0000_s1026" style="position:absolute;margin-left:1in;margin-top:16.2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" path="m,l2880,e" filled="f" strokeweight=".54pt">
                <v:path arrowok="t" o:connecttype="custom" o:connectlocs="0,0;1828800,0" o:connectangles="0,0"/>
                <w10:wrap type="topAndBottom" anchorx="page"/>
              </v:shape>
            </w:pict>
          </mc:Fallback>
        </mc:AlternateContent>
      </w:r>
    </w:p>
    <w:p w14:paraId="3FA5E71C" w14:textId="77777777" w:rsidR="000463CB" w:rsidRPr="00E62831" w:rsidRDefault="00000000" w:rsidP="00E62831">
      <w:pPr>
        <w:pStyle w:val="ListParagraph"/>
        <w:widowControl w:val="0"/>
        <w:numPr>
          <w:ilvl w:val="0"/>
          <w:numId w:val="5"/>
        </w:numPr>
        <w:tabs>
          <w:tab w:val="left" w:pos="428"/>
        </w:tabs>
        <w:autoSpaceDE w:val="0"/>
        <w:autoSpaceDN w:val="0"/>
        <w:spacing w:before="27" w:after="0" w:line="243" w:lineRule="exact"/>
        <w:ind w:left="427"/>
        <w:contextualSpacing w:val="0"/>
        <w:jc w:val="both"/>
        <w:rPr>
          <w:rFonts w:cstheme="minorHAnsi"/>
        </w:rPr>
      </w:pPr>
      <w:hyperlink r:id="rId10">
        <w:bookmarkStart w:id="10" w:name="_bookmark3"/>
        <w:bookmarkEnd w:id="10"/>
        <w:r w:rsidR="000463CB" w:rsidRPr="00E62831">
          <w:rPr>
            <w:rFonts w:cstheme="minorHAnsi"/>
            <w:color w:val="0000FF"/>
            <w:u w:val="single" w:color="0000FF"/>
          </w:rPr>
          <w:t>http://www.wmo.int/pages/prog/www/WMOCodes.htm</w:t>
        </w:r>
        <w:r w:rsidR="000463CB" w:rsidRPr="00E62831">
          <w:rPr>
            <w:rFonts w:cstheme="minorHAnsi"/>
            <w:color w:val="0000FF"/>
          </w:rPr>
          <w:t>l</w:t>
        </w:r>
      </w:hyperlink>
    </w:p>
    <w:p w14:paraId="5A9FF0B7" w14:textId="77777777" w:rsidR="000463CB" w:rsidRPr="00E62831" w:rsidRDefault="00000000" w:rsidP="00E62831">
      <w:pPr>
        <w:pStyle w:val="ListParagraph"/>
        <w:widowControl w:val="0"/>
        <w:numPr>
          <w:ilvl w:val="0"/>
          <w:numId w:val="5"/>
        </w:numPr>
        <w:tabs>
          <w:tab w:val="left" w:pos="428"/>
        </w:tabs>
        <w:autoSpaceDE w:val="0"/>
        <w:autoSpaceDN w:val="0"/>
        <w:spacing w:after="0" w:line="243" w:lineRule="exact"/>
        <w:ind w:left="427"/>
        <w:contextualSpacing w:val="0"/>
        <w:jc w:val="both"/>
        <w:rPr>
          <w:rFonts w:cstheme="minorHAnsi"/>
        </w:rPr>
      </w:pPr>
      <w:hyperlink r:id="rId11">
        <w:bookmarkStart w:id="11" w:name="_bookmark4"/>
        <w:bookmarkEnd w:id="11"/>
        <w:r w:rsidR="000463CB" w:rsidRPr="00E62831">
          <w:rPr>
            <w:rFonts w:cstheme="minorHAnsi"/>
            <w:color w:val="0000FF"/>
            <w:u w:val="single" w:color="0000FF"/>
          </w:rPr>
          <w:t>http://www.wmo.int/pages/prog/www/IMOP/publications/CIMO-Guide/CIMO_Guide-7th_Edition-2008.htm</w:t>
        </w:r>
        <w:r w:rsidR="000463CB" w:rsidRPr="00E62831">
          <w:rPr>
            <w:rFonts w:cstheme="minorHAnsi"/>
            <w:color w:val="0000FF"/>
          </w:rPr>
          <w:t>l</w:t>
        </w:r>
      </w:hyperlink>
    </w:p>
    <w:p w14:paraId="44E28AA0" w14:textId="77777777" w:rsidR="000463CB" w:rsidRPr="00E62831" w:rsidRDefault="000463CB" w:rsidP="00E62831">
      <w:pPr>
        <w:pStyle w:val="BodyText"/>
        <w:jc w:val="both"/>
        <w:rPr>
          <w:rFonts w:asciiTheme="minorHAnsi" w:hAnsiTheme="minorHAnsi" w:cstheme="minorHAnsi"/>
        </w:rPr>
      </w:pPr>
    </w:p>
    <w:p w14:paraId="41ECF66A" w14:textId="77777777" w:rsidR="000463CB" w:rsidRPr="00E62831" w:rsidRDefault="000463CB" w:rsidP="00E62831">
      <w:pPr>
        <w:pStyle w:val="BodyText"/>
        <w:spacing w:before="7"/>
        <w:jc w:val="both"/>
        <w:rPr>
          <w:rFonts w:asciiTheme="minorHAnsi" w:hAnsiTheme="minorHAnsi" w:cstheme="minorHAnsi"/>
        </w:rPr>
      </w:pPr>
    </w:p>
    <w:p w14:paraId="3AB615A1" w14:textId="77777777" w:rsidR="000463CB" w:rsidRPr="00E62831" w:rsidRDefault="000463CB" w:rsidP="00E62831">
      <w:pPr>
        <w:spacing w:before="94"/>
        <w:ind w:left="574" w:right="1735"/>
        <w:jc w:val="both"/>
        <w:rPr>
          <w:rFonts w:cstheme="minorHAnsi"/>
        </w:rPr>
      </w:pPr>
      <w:r w:rsidRPr="00E62831">
        <w:rPr>
          <w:rFonts w:cstheme="minorHAnsi"/>
        </w:rPr>
        <w:t>- 6 -</w:t>
      </w:r>
    </w:p>
    <w:p w14:paraId="76688226" w14:textId="77777777" w:rsidR="000463CB" w:rsidRPr="00E62831" w:rsidRDefault="000463CB" w:rsidP="00E62831">
      <w:pPr>
        <w:jc w:val="both"/>
        <w:rPr>
          <w:rFonts w:cstheme="minorHAnsi"/>
        </w:rPr>
        <w:sectPr w:rsidR="000463CB" w:rsidRPr="00E62831" w:rsidSect="000463CB">
          <w:pgSz w:w="11900" w:h="16840"/>
          <w:pgMar w:top="1340" w:right="0" w:bottom="280" w:left="1140" w:header="720" w:footer="720" w:gutter="0"/>
          <w:cols w:space="720"/>
        </w:sectPr>
      </w:pPr>
    </w:p>
    <w:p w14:paraId="2255E2A5" w14:textId="77777777" w:rsidR="000463CB" w:rsidRPr="00E62831" w:rsidRDefault="000463CB" w:rsidP="00E62831">
      <w:pPr>
        <w:pStyle w:val="Heading3"/>
        <w:numPr>
          <w:ilvl w:val="1"/>
          <w:numId w:val="4"/>
        </w:numPr>
        <w:tabs>
          <w:tab w:val="left" w:pos="1008"/>
          <w:tab w:val="left" w:pos="1010"/>
        </w:tabs>
        <w:spacing w:before="77"/>
        <w:ind w:left="1009" w:hanging="710"/>
        <w:jc w:val="both"/>
        <w:rPr>
          <w:rFonts w:asciiTheme="minorHAnsi" w:hAnsiTheme="minorHAnsi" w:cstheme="minorHAnsi"/>
        </w:rPr>
      </w:pPr>
      <w:bookmarkStart w:id="12" w:name="_TOC_250006"/>
      <w:r w:rsidRPr="00E62831">
        <w:rPr>
          <w:rFonts w:asciiTheme="minorHAnsi" w:hAnsiTheme="minorHAnsi" w:cstheme="minorHAnsi"/>
          <w:u w:val="thick"/>
        </w:rPr>
        <w:lastRenderedPageBreak/>
        <w:t>Historical</w:t>
      </w:r>
      <w:r w:rsidRPr="00E62831">
        <w:rPr>
          <w:rFonts w:asciiTheme="minorHAnsi" w:hAnsiTheme="minorHAnsi" w:cstheme="minorHAnsi"/>
          <w:spacing w:val="-1"/>
          <w:u w:val="thick"/>
        </w:rPr>
        <w:t xml:space="preserve"> </w:t>
      </w:r>
      <w:bookmarkEnd w:id="12"/>
      <w:r w:rsidRPr="00E62831">
        <w:rPr>
          <w:rFonts w:asciiTheme="minorHAnsi" w:hAnsiTheme="minorHAnsi" w:cstheme="minorHAnsi"/>
          <w:u w:val="thick"/>
        </w:rPr>
        <w:t>record</w:t>
      </w:r>
    </w:p>
    <w:p w14:paraId="53E48AB7" w14:textId="77777777" w:rsidR="000463CB" w:rsidRPr="00E62831" w:rsidRDefault="000463CB" w:rsidP="00E62831">
      <w:pPr>
        <w:pStyle w:val="BodyText"/>
        <w:spacing w:before="9"/>
        <w:jc w:val="both"/>
        <w:rPr>
          <w:rFonts w:asciiTheme="minorHAnsi" w:hAnsiTheme="minorHAnsi" w:cstheme="minorHAnsi"/>
          <w:b/>
        </w:rPr>
      </w:pPr>
    </w:p>
    <w:p w14:paraId="01AA5FDB" w14:textId="77777777" w:rsidR="000463CB" w:rsidRPr="00E62831" w:rsidRDefault="000463CB" w:rsidP="002D086E">
      <w:pPr>
        <w:pStyle w:val="BodyText"/>
        <w:spacing w:before="92"/>
        <w:ind w:left="300" w:right="1460"/>
        <w:jc w:val="both"/>
        <w:rPr>
          <w:rFonts w:asciiTheme="minorHAnsi" w:hAnsiTheme="minorHAnsi" w:cstheme="minorHAnsi"/>
        </w:rPr>
      </w:pPr>
      <w:r w:rsidRPr="00E62831">
        <w:rPr>
          <w:rFonts w:asciiTheme="minorHAnsi" w:hAnsiTheme="minorHAnsi" w:cstheme="minorHAnsi"/>
        </w:rPr>
        <w:t xml:space="preserve">For the GSN, the Minimum Requirements relate to Temperature and Precipitation, for which historical daily series should have a length of at least 20 years. The Target Requirements for all parameters are set at 50 years. The time series should be homogeneous, or should allow for </w:t>
      </w:r>
      <w:proofErr w:type="spellStart"/>
      <w:r w:rsidRPr="00E62831">
        <w:rPr>
          <w:rFonts w:asciiTheme="minorHAnsi" w:hAnsiTheme="minorHAnsi" w:cstheme="minorHAnsi"/>
        </w:rPr>
        <w:t>homogenisation</w:t>
      </w:r>
      <w:proofErr w:type="spellEnd"/>
      <w:r w:rsidRPr="00E62831">
        <w:rPr>
          <w:rFonts w:asciiTheme="minorHAnsi" w:hAnsiTheme="minorHAnsi" w:cstheme="minorHAnsi"/>
        </w:rPr>
        <w:t xml:space="preserve"> through the provision of appropriate metadata.</w:t>
      </w:r>
    </w:p>
    <w:p w14:paraId="002C1214" w14:textId="77777777" w:rsidR="000463CB" w:rsidRPr="00E62831" w:rsidRDefault="000463CB" w:rsidP="00E62831">
      <w:pPr>
        <w:pStyle w:val="BodyText"/>
        <w:jc w:val="both"/>
        <w:rPr>
          <w:rFonts w:asciiTheme="minorHAnsi" w:hAnsiTheme="minorHAnsi" w:cstheme="minorHAnsi"/>
        </w:rPr>
      </w:pPr>
    </w:p>
    <w:p w14:paraId="35BE419D" w14:textId="77777777" w:rsidR="000463CB" w:rsidRPr="00E62831" w:rsidRDefault="000463CB" w:rsidP="002D086E">
      <w:pPr>
        <w:pStyle w:val="BodyText"/>
        <w:ind w:left="300" w:right="1460"/>
        <w:jc w:val="both"/>
        <w:rPr>
          <w:rFonts w:asciiTheme="minorHAnsi" w:hAnsiTheme="minorHAnsi" w:cstheme="minorHAnsi"/>
        </w:rPr>
      </w:pPr>
      <w:r w:rsidRPr="00E62831">
        <w:rPr>
          <w:rFonts w:asciiTheme="minorHAnsi" w:hAnsiTheme="minorHAnsi" w:cstheme="minorHAnsi"/>
        </w:rPr>
        <w:t>The GUAN criteria are defined through numbers of individual observations. The Minimum Requirement is 5,000 upper-air observations, equivalent to about 15 years of 1 observation per day (or 7.5 years at 2 per day). The Target Requirement is 15,000 observations.</w:t>
      </w:r>
    </w:p>
    <w:p w14:paraId="5EE80549" w14:textId="77777777" w:rsidR="000463CB" w:rsidRPr="00E62831" w:rsidRDefault="000463CB" w:rsidP="00E62831">
      <w:pPr>
        <w:pStyle w:val="BodyText"/>
        <w:jc w:val="both"/>
        <w:rPr>
          <w:rFonts w:asciiTheme="minorHAnsi" w:hAnsiTheme="minorHAnsi" w:cstheme="minorHAnsi"/>
        </w:rPr>
      </w:pPr>
    </w:p>
    <w:p w14:paraId="1BEC8F03" w14:textId="77777777" w:rsidR="00594922" w:rsidRPr="002D086E" w:rsidRDefault="00594922" w:rsidP="00E62831">
      <w:pPr>
        <w:jc w:val="both"/>
        <w:rPr>
          <w:rFonts w:cstheme="minorHAnsi"/>
        </w:rPr>
      </w:pPr>
    </w:p>
    <w:sectPr w:rsidR="00594922" w:rsidRPr="002D0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218"/>
    <w:multiLevelType w:val="hybridMultilevel"/>
    <w:tmpl w:val="DEB8E368"/>
    <w:lvl w:ilvl="0" w:tplc="2000000F">
      <w:start w:val="1"/>
      <w:numFmt w:val="decimal"/>
      <w:lvlText w:val="%1."/>
      <w:lvlJc w:val="left"/>
      <w:pPr>
        <w:ind w:left="720" w:hanging="360"/>
      </w:pPr>
      <w:rPr>
        <w:b/>
        <w:bCs/>
      </w:rPr>
    </w:lvl>
    <w:lvl w:ilvl="1" w:tplc="184A1E48">
      <w:start w:val="1"/>
      <w:numFmt w:val="lowerLetter"/>
      <w:lvlText w:val="%2)"/>
      <w:lvlJc w:val="left"/>
      <w:pPr>
        <w:ind w:left="1440" w:hanging="360"/>
      </w:pPr>
    </w:lvl>
    <w:lvl w:ilvl="2" w:tplc="2262950A">
      <w:start w:val="1"/>
      <w:numFmt w:val="lowerRoman"/>
      <w:lvlText w:val="%3)"/>
      <w:lvlJc w:val="right"/>
      <w:pPr>
        <w:ind w:left="2160" w:hanging="180"/>
      </w:pPr>
    </w:lvl>
    <w:lvl w:ilvl="3" w:tplc="31807694">
      <w:start w:val="1"/>
      <w:numFmt w:val="decimal"/>
      <w:lvlText w:val="(%4)"/>
      <w:lvlJc w:val="left"/>
      <w:pPr>
        <w:ind w:left="2880" w:hanging="360"/>
      </w:pPr>
    </w:lvl>
    <w:lvl w:ilvl="4" w:tplc="8A8E02A6">
      <w:start w:val="1"/>
      <w:numFmt w:val="lowerLetter"/>
      <w:lvlText w:val="(%5)"/>
      <w:lvlJc w:val="left"/>
      <w:pPr>
        <w:ind w:left="3600" w:hanging="360"/>
      </w:pPr>
    </w:lvl>
    <w:lvl w:ilvl="5" w:tplc="1B4C984E">
      <w:start w:val="1"/>
      <w:numFmt w:val="lowerRoman"/>
      <w:lvlText w:val="(%6)"/>
      <w:lvlJc w:val="right"/>
      <w:pPr>
        <w:ind w:left="4320" w:hanging="180"/>
      </w:pPr>
    </w:lvl>
    <w:lvl w:ilvl="6" w:tplc="76BEB600">
      <w:start w:val="1"/>
      <w:numFmt w:val="decimal"/>
      <w:lvlText w:val="%7."/>
      <w:lvlJc w:val="left"/>
      <w:pPr>
        <w:ind w:left="5040" w:hanging="360"/>
      </w:pPr>
    </w:lvl>
    <w:lvl w:ilvl="7" w:tplc="93D82D28">
      <w:start w:val="1"/>
      <w:numFmt w:val="lowerLetter"/>
      <w:lvlText w:val="%8."/>
      <w:lvlJc w:val="left"/>
      <w:pPr>
        <w:ind w:left="5760" w:hanging="360"/>
      </w:pPr>
    </w:lvl>
    <w:lvl w:ilvl="8" w:tplc="E222D746">
      <w:start w:val="1"/>
      <w:numFmt w:val="lowerRoman"/>
      <w:lvlText w:val="%9."/>
      <w:lvlJc w:val="right"/>
      <w:pPr>
        <w:ind w:left="6480" w:hanging="180"/>
      </w:pPr>
    </w:lvl>
  </w:abstractNum>
  <w:abstractNum w:abstractNumId="1" w15:restartNumberingAfterBreak="0">
    <w:nsid w:val="0B992265"/>
    <w:multiLevelType w:val="multilevel"/>
    <w:tmpl w:val="638C766A"/>
    <w:lvl w:ilvl="0">
      <w:start w:val="1"/>
      <w:numFmt w:val="decimal"/>
      <w:lvlText w:val="%1."/>
      <w:lvlJc w:val="left"/>
      <w:pPr>
        <w:ind w:left="1008" w:hanging="709"/>
        <w:jc w:val="left"/>
      </w:pPr>
      <w:rPr>
        <w:rFonts w:hint="default"/>
        <w:b/>
        <w:bCs/>
        <w:spacing w:val="-1"/>
        <w:w w:val="99"/>
      </w:rPr>
    </w:lvl>
    <w:lvl w:ilvl="1">
      <w:start w:val="1"/>
      <w:numFmt w:val="decimal"/>
      <w:lvlText w:val="%1.%2"/>
      <w:lvlJc w:val="left"/>
      <w:pPr>
        <w:ind w:left="1008" w:hanging="709"/>
        <w:jc w:val="left"/>
      </w:pPr>
      <w:rPr>
        <w:rFonts w:ascii="Arial" w:eastAsia="Arial" w:hAnsi="Arial" w:cs="Arial" w:hint="default"/>
        <w:b/>
        <w:bCs/>
        <w:w w:val="99"/>
        <w:sz w:val="22"/>
        <w:szCs w:val="22"/>
      </w:rPr>
    </w:lvl>
    <w:lvl w:ilvl="2">
      <w:numFmt w:val="bullet"/>
      <w:lvlText w:val=""/>
      <w:lvlJc w:val="left"/>
      <w:pPr>
        <w:ind w:left="980" w:hanging="361"/>
      </w:pPr>
      <w:rPr>
        <w:rFonts w:ascii="Symbol" w:eastAsia="Symbol" w:hAnsi="Symbol" w:cs="Symbol" w:hint="default"/>
        <w:w w:val="99"/>
        <w:sz w:val="22"/>
        <w:szCs w:val="22"/>
      </w:rPr>
    </w:lvl>
    <w:lvl w:ilvl="3">
      <w:numFmt w:val="bullet"/>
      <w:lvlText w:val="•"/>
      <w:lvlJc w:val="left"/>
      <w:pPr>
        <w:ind w:left="3168" w:hanging="361"/>
      </w:pPr>
      <w:rPr>
        <w:rFonts w:hint="default"/>
      </w:rPr>
    </w:lvl>
    <w:lvl w:ilvl="4">
      <w:numFmt w:val="bullet"/>
      <w:lvlText w:val="•"/>
      <w:lvlJc w:val="left"/>
      <w:pPr>
        <w:ind w:left="4253" w:hanging="361"/>
      </w:pPr>
      <w:rPr>
        <w:rFonts w:hint="default"/>
      </w:rPr>
    </w:lvl>
    <w:lvl w:ilvl="5">
      <w:numFmt w:val="bullet"/>
      <w:lvlText w:val="•"/>
      <w:lvlJc w:val="left"/>
      <w:pPr>
        <w:ind w:left="5337" w:hanging="361"/>
      </w:pPr>
      <w:rPr>
        <w:rFonts w:hint="default"/>
      </w:rPr>
    </w:lvl>
    <w:lvl w:ilvl="6">
      <w:numFmt w:val="bullet"/>
      <w:lvlText w:val="•"/>
      <w:lvlJc w:val="left"/>
      <w:pPr>
        <w:ind w:left="6422" w:hanging="361"/>
      </w:pPr>
      <w:rPr>
        <w:rFonts w:hint="default"/>
      </w:rPr>
    </w:lvl>
    <w:lvl w:ilvl="7">
      <w:numFmt w:val="bullet"/>
      <w:lvlText w:val="•"/>
      <w:lvlJc w:val="left"/>
      <w:pPr>
        <w:ind w:left="7506" w:hanging="361"/>
      </w:pPr>
      <w:rPr>
        <w:rFonts w:hint="default"/>
      </w:rPr>
    </w:lvl>
    <w:lvl w:ilvl="8">
      <w:numFmt w:val="bullet"/>
      <w:lvlText w:val="•"/>
      <w:lvlJc w:val="left"/>
      <w:pPr>
        <w:ind w:left="8591" w:hanging="361"/>
      </w:pPr>
      <w:rPr>
        <w:rFonts w:hint="default"/>
      </w:rPr>
    </w:lvl>
  </w:abstractNum>
  <w:abstractNum w:abstractNumId="2" w15:restartNumberingAfterBreak="0">
    <w:nsid w:val="24D251A8"/>
    <w:multiLevelType w:val="hybridMultilevel"/>
    <w:tmpl w:val="FFFFFFFF"/>
    <w:lvl w:ilvl="0" w:tplc="D0DAD884">
      <w:start w:val="1"/>
      <w:numFmt w:val="bullet"/>
      <w:lvlText w:val=""/>
      <w:lvlJc w:val="left"/>
      <w:pPr>
        <w:ind w:left="720" w:hanging="360"/>
      </w:pPr>
      <w:rPr>
        <w:rFonts w:ascii="Symbol" w:hAnsi="Symbol" w:hint="default"/>
      </w:rPr>
    </w:lvl>
    <w:lvl w:ilvl="1" w:tplc="D0D6357A">
      <w:start w:val="1"/>
      <w:numFmt w:val="bullet"/>
      <w:lvlText w:val="o"/>
      <w:lvlJc w:val="left"/>
      <w:pPr>
        <w:ind w:left="1440" w:hanging="360"/>
      </w:pPr>
      <w:rPr>
        <w:rFonts w:ascii="Courier New" w:hAnsi="Courier New" w:hint="default"/>
      </w:rPr>
    </w:lvl>
    <w:lvl w:ilvl="2" w:tplc="EAE042CC">
      <w:start w:val="1"/>
      <w:numFmt w:val="bullet"/>
      <w:lvlText w:val=""/>
      <w:lvlJc w:val="left"/>
      <w:pPr>
        <w:ind w:left="2160" w:hanging="360"/>
      </w:pPr>
      <w:rPr>
        <w:rFonts w:ascii="Wingdings" w:hAnsi="Wingdings" w:hint="default"/>
      </w:rPr>
    </w:lvl>
    <w:lvl w:ilvl="3" w:tplc="EA4E59F8">
      <w:start w:val="1"/>
      <w:numFmt w:val="bullet"/>
      <w:lvlText w:val=""/>
      <w:lvlJc w:val="left"/>
      <w:pPr>
        <w:ind w:left="2880" w:hanging="360"/>
      </w:pPr>
      <w:rPr>
        <w:rFonts w:ascii="Symbol" w:hAnsi="Symbol" w:hint="default"/>
      </w:rPr>
    </w:lvl>
    <w:lvl w:ilvl="4" w:tplc="DB9EE276">
      <w:start w:val="1"/>
      <w:numFmt w:val="bullet"/>
      <w:lvlText w:val="o"/>
      <w:lvlJc w:val="left"/>
      <w:pPr>
        <w:ind w:left="3600" w:hanging="360"/>
      </w:pPr>
      <w:rPr>
        <w:rFonts w:ascii="Courier New" w:hAnsi="Courier New" w:hint="default"/>
      </w:rPr>
    </w:lvl>
    <w:lvl w:ilvl="5" w:tplc="7D7C8CA2">
      <w:start w:val="1"/>
      <w:numFmt w:val="bullet"/>
      <w:lvlText w:val=""/>
      <w:lvlJc w:val="left"/>
      <w:pPr>
        <w:ind w:left="4320" w:hanging="360"/>
      </w:pPr>
      <w:rPr>
        <w:rFonts w:ascii="Wingdings" w:hAnsi="Wingdings" w:hint="default"/>
      </w:rPr>
    </w:lvl>
    <w:lvl w:ilvl="6" w:tplc="C0DA2014">
      <w:start w:val="1"/>
      <w:numFmt w:val="bullet"/>
      <w:lvlText w:val=""/>
      <w:lvlJc w:val="left"/>
      <w:pPr>
        <w:ind w:left="5040" w:hanging="360"/>
      </w:pPr>
      <w:rPr>
        <w:rFonts w:ascii="Symbol" w:hAnsi="Symbol" w:hint="default"/>
      </w:rPr>
    </w:lvl>
    <w:lvl w:ilvl="7" w:tplc="F210E6FA">
      <w:start w:val="1"/>
      <w:numFmt w:val="bullet"/>
      <w:lvlText w:val="o"/>
      <w:lvlJc w:val="left"/>
      <w:pPr>
        <w:ind w:left="5760" w:hanging="360"/>
      </w:pPr>
      <w:rPr>
        <w:rFonts w:ascii="Courier New" w:hAnsi="Courier New" w:hint="default"/>
      </w:rPr>
    </w:lvl>
    <w:lvl w:ilvl="8" w:tplc="98C8C590">
      <w:start w:val="1"/>
      <w:numFmt w:val="bullet"/>
      <w:lvlText w:val=""/>
      <w:lvlJc w:val="left"/>
      <w:pPr>
        <w:ind w:left="6480" w:hanging="360"/>
      </w:pPr>
      <w:rPr>
        <w:rFonts w:ascii="Wingdings" w:hAnsi="Wingdings" w:hint="default"/>
      </w:rPr>
    </w:lvl>
  </w:abstractNum>
  <w:abstractNum w:abstractNumId="3" w15:restartNumberingAfterBreak="0">
    <w:nsid w:val="414F421F"/>
    <w:multiLevelType w:val="hybridMultilevel"/>
    <w:tmpl w:val="B42801AC"/>
    <w:lvl w:ilvl="0" w:tplc="9956E1DE">
      <w:numFmt w:val="bullet"/>
      <w:lvlText w:val=""/>
      <w:lvlJc w:val="left"/>
      <w:pPr>
        <w:ind w:left="639" w:hanging="361"/>
      </w:pPr>
      <w:rPr>
        <w:rFonts w:ascii="Symbol" w:eastAsia="Symbol" w:hAnsi="Symbol" w:cs="Symbol" w:hint="default"/>
        <w:w w:val="99"/>
        <w:sz w:val="22"/>
        <w:szCs w:val="22"/>
      </w:rPr>
    </w:lvl>
    <w:lvl w:ilvl="1" w:tplc="A784189E">
      <w:numFmt w:val="bullet"/>
      <w:lvlText w:val="•"/>
      <w:lvlJc w:val="left"/>
      <w:pPr>
        <w:ind w:left="1652" w:hanging="361"/>
      </w:pPr>
      <w:rPr>
        <w:rFonts w:hint="default"/>
      </w:rPr>
    </w:lvl>
    <w:lvl w:ilvl="2" w:tplc="D624BF40">
      <w:numFmt w:val="bullet"/>
      <w:lvlText w:val="•"/>
      <w:lvlJc w:val="left"/>
      <w:pPr>
        <w:ind w:left="2664" w:hanging="361"/>
      </w:pPr>
      <w:rPr>
        <w:rFonts w:hint="default"/>
      </w:rPr>
    </w:lvl>
    <w:lvl w:ilvl="3" w:tplc="732846EE">
      <w:numFmt w:val="bullet"/>
      <w:lvlText w:val="•"/>
      <w:lvlJc w:val="left"/>
      <w:pPr>
        <w:ind w:left="3676" w:hanging="361"/>
      </w:pPr>
      <w:rPr>
        <w:rFonts w:hint="default"/>
      </w:rPr>
    </w:lvl>
    <w:lvl w:ilvl="4" w:tplc="6FC8C2C8">
      <w:numFmt w:val="bullet"/>
      <w:lvlText w:val="•"/>
      <w:lvlJc w:val="left"/>
      <w:pPr>
        <w:ind w:left="4688" w:hanging="361"/>
      </w:pPr>
      <w:rPr>
        <w:rFonts w:hint="default"/>
      </w:rPr>
    </w:lvl>
    <w:lvl w:ilvl="5" w:tplc="1960D3FA">
      <w:numFmt w:val="bullet"/>
      <w:lvlText w:val="•"/>
      <w:lvlJc w:val="left"/>
      <w:pPr>
        <w:ind w:left="5700" w:hanging="361"/>
      </w:pPr>
      <w:rPr>
        <w:rFonts w:hint="default"/>
      </w:rPr>
    </w:lvl>
    <w:lvl w:ilvl="6" w:tplc="C9B6E88A">
      <w:numFmt w:val="bullet"/>
      <w:lvlText w:val="•"/>
      <w:lvlJc w:val="left"/>
      <w:pPr>
        <w:ind w:left="6712" w:hanging="361"/>
      </w:pPr>
      <w:rPr>
        <w:rFonts w:hint="default"/>
      </w:rPr>
    </w:lvl>
    <w:lvl w:ilvl="7" w:tplc="88D82BDC">
      <w:numFmt w:val="bullet"/>
      <w:lvlText w:val="•"/>
      <w:lvlJc w:val="left"/>
      <w:pPr>
        <w:ind w:left="7724" w:hanging="361"/>
      </w:pPr>
      <w:rPr>
        <w:rFonts w:hint="default"/>
      </w:rPr>
    </w:lvl>
    <w:lvl w:ilvl="8" w:tplc="217A8FA0">
      <w:numFmt w:val="bullet"/>
      <w:lvlText w:val="•"/>
      <w:lvlJc w:val="left"/>
      <w:pPr>
        <w:ind w:left="8736" w:hanging="361"/>
      </w:pPr>
      <w:rPr>
        <w:rFonts w:hint="default"/>
      </w:rPr>
    </w:lvl>
  </w:abstractNum>
  <w:abstractNum w:abstractNumId="4" w15:restartNumberingAfterBreak="0">
    <w:nsid w:val="519C04E0"/>
    <w:multiLevelType w:val="hybridMultilevel"/>
    <w:tmpl w:val="4EB4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24F73"/>
    <w:multiLevelType w:val="hybridMultilevel"/>
    <w:tmpl w:val="4530B65E"/>
    <w:lvl w:ilvl="0" w:tplc="A698A98E">
      <w:start w:val="3"/>
      <w:numFmt w:val="decimal"/>
      <w:lvlText w:val="%1"/>
      <w:lvlJc w:val="left"/>
      <w:pPr>
        <w:ind w:left="300" w:hanging="128"/>
        <w:jc w:val="left"/>
      </w:pPr>
      <w:rPr>
        <w:rFonts w:ascii="Arial" w:eastAsia="Arial" w:hAnsi="Arial" w:cs="Arial" w:hint="default"/>
        <w:w w:val="99"/>
        <w:position w:val="10"/>
        <w:sz w:val="13"/>
        <w:szCs w:val="13"/>
      </w:rPr>
    </w:lvl>
    <w:lvl w:ilvl="1" w:tplc="31B69FE0">
      <w:numFmt w:val="bullet"/>
      <w:lvlText w:val="•"/>
      <w:lvlJc w:val="left"/>
      <w:pPr>
        <w:ind w:left="1346" w:hanging="128"/>
      </w:pPr>
      <w:rPr>
        <w:rFonts w:hint="default"/>
      </w:rPr>
    </w:lvl>
    <w:lvl w:ilvl="2" w:tplc="DE8AD58A">
      <w:numFmt w:val="bullet"/>
      <w:lvlText w:val="•"/>
      <w:lvlJc w:val="left"/>
      <w:pPr>
        <w:ind w:left="2392" w:hanging="128"/>
      </w:pPr>
      <w:rPr>
        <w:rFonts w:hint="default"/>
      </w:rPr>
    </w:lvl>
    <w:lvl w:ilvl="3" w:tplc="D1F0803E">
      <w:numFmt w:val="bullet"/>
      <w:lvlText w:val="•"/>
      <w:lvlJc w:val="left"/>
      <w:pPr>
        <w:ind w:left="3438" w:hanging="128"/>
      </w:pPr>
      <w:rPr>
        <w:rFonts w:hint="default"/>
      </w:rPr>
    </w:lvl>
    <w:lvl w:ilvl="4" w:tplc="6B90E084">
      <w:numFmt w:val="bullet"/>
      <w:lvlText w:val="•"/>
      <w:lvlJc w:val="left"/>
      <w:pPr>
        <w:ind w:left="4484" w:hanging="128"/>
      </w:pPr>
      <w:rPr>
        <w:rFonts w:hint="default"/>
      </w:rPr>
    </w:lvl>
    <w:lvl w:ilvl="5" w:tplc="C3A65776">
      <w:numFmt w:val="bullet"/>
      <w:lvlText w:val="•"/>
      <w:lvlJc w:val="left"/>
      <w:pPr>
        <w:ind w:left="5530" w:hanging="128"/>
      </w:pPr>
      <w:rPr>
        <w:rFonts w:hint="default"/>
      </w:rPr>
    </w:lvl>
    <w:lvl w:ilvl="6" w:tplc="A70E6188">
      <w:numFmt w:val="bullet"/>
      <w:lvlText w:val="•"/>
      <w:lvlJc w:val="left"/>
      <w:pPr>
        <w:ind w:left="6576" w:hanging="128"/>
      </w:pPr>
      <w:rPr>
        <w:rFonts w:hint="default"/>
      </w:rPr>
    </w:lvl>
    <w:lvl w:ilvl="7" w:tplc="0EB225DC">
      <w:numFmt w:val="bullet"/>
      <w:lvlText w:val="•"/>
      <w:lvlJc w:val="left"/>
      <w:pPr>
        <w:ind w:left="7622" w:hanging="128"/>
      </w:pPr>
      <w:rPr>
        <w:rFonts w:hint="default"/>
      </w:rPr>
    </w:lvl>
    <w:lvl w:ilvl="8" w:tplc="D958A316">
      <w:numFmt w:val="bullet"/>
      <w:lvlText w:val="•"/>
      <w:lvlJc w:val="left"/>
      <w:pPr>
        <w:ind w:left="8668" w:hanging="128"/>
      </w:pPr>
      <w:rPr>
        <w:rFonts w:hint="default"/>
      </w:rPr>
    </w:lvl>
  </w:abstractNum>
  <w:abstractNum w:abstractNumId="6" w15:restartNumberingAfterBreak="0">
    <w:nsid w:val="6CC87523"/>
    <w:multiLevelType w:val="hybridMultilevel"/>
    <w:tmpl w:val="2E7CA038"/>
    <w:lvl w:ilvl="0" w:tplc="31B67AD0">
      <w:start w:val="1"/>
      <w:numFmt w:val="lowerRoman"/>
      <w:lvlText w:val="(%1)"/>
      <w:lvlJc w:val="left"/>
      <w:pPr>
        <w:ind w:left="617" w:hanging="318"/>
        <w:jc w:val="left"/>
      </w:pPr>
      <w:rPr>
        <w:rFonts w:ascii="Arial" w:eastAsia="Arial" w:hAnsi="Arial" w:cs="Arial" w:hint="default"/>
        <w:w w:val="99"/>
        <w:sz w:val="22"/>
        <w:szCs w:val="22"/>
      </w:rPr>
    </w:lvl>
    <w:lvl w:ilvl="1" w:tplc="06568B38">
      <w:numFmt w:val="bullet"/>
      <w:lvlText w:val="•"/>
      <w:lvlJc w:val="left"/>
      <w:pPr>
        <w:ind w:left="1634" w:hanging="318"/>
      </w:pPr>
      <w:rPr>
        <w:rFonts w:hint="default"/>
      </w:rPr>
    </w:lvl>
    <w:lvl w:ilvl="2" w:tplc="64825046">
      <w:numFmt w:val="bullet"/>
      <w:lvlText w:val="•"/>
      <w:lvlJc w:val="left"/>
      <w:pPr>
        <w:ind w:left="2648" w:hanging="318"/>
      </w:pPr>
      <w:rPr>
        <w:rFonts w:hint="default"/>
      </w:rPr>
    </w:lvl>
    <w:lvl w:ilvl="3" w:tplc="FF4489FE">
      <w:numFmt w:val="bullet"/>
      <w:lvlText w:val="•"/>
      <w:lvlJc w:val="left"/>
      <w:pPr>
        <w:ind w:left="3662" w:hanging="318"/>
      </w:pPr>
      <w:rPr>
        <w:rFonts w:hint="default"/>
      </w:rPr>
    </w:lvl>
    <w:lvl w:ilvl="4" w:tplc="465EF618">
      <w:numFmt w:val="bullet"/>
      <w:lvlText w:val="•"/>
      <w:lvlJc w:val="left"/>
      <w:pPr>
        <w:ind w:left="4676" w:hanging="318"/>
      </w:pPr>
      <w:rPr>
        <w:rFonts w:hint="default"/>
      </w:rPr>
    </w:lvl>
    <w:lvl w:ilvl="5" w:tplc="B50E8704">
      <w:numFmt w:val="bullet"/>
      <w:lvlText w:val="•"/>
      <w:lvlJc w:val="left"/>
      <w:pPr>
        <w:ind w:left="5690" w:hanging="318"/>
      </w:pPr>
      <w:rPr>
        <w:rFonts w:hint="default"/>
      </w:rPr>
    </w:lvl>
    <w:lvl w:ilvl="6" w:tplc="3D08CC36">
      <w:numFmt w:val="bullet"/>
      <w:lvlText w:val="•"/>
      <w:lvlJc w:val="left"/>
      <w:pPr>
        <w:ind w:left="6704" w:hanging="318"/>
      </w:pPr>
      <w:rPr>
        <w:rFonts w:hint="default"/>
      </w:rPr>
    </w:lvl>
    <w:lvl w:ilvl="7" w:tplc="DD5CD628">
      <w:numFmt w:val="bullet"/>
      <w:lvlText w:val="•"/>
      <w:lvlJc w:val="left"/>
      <w:pPr>
        <w:ind w:left="7718" w:hanging="318"/>
      </w:pPr>
      <w:rPr>
        <w:rFonts w:hint="default"/>
      </w:rPr>
    </w:lvl>
    <w:lvl w:ilvl="8" w:tplc="5BA8B996">
      <w:numFmt w:val="bullet"/>
      <w:lvlText w:val="•"/>
      <w:lvlJc w:val="left"/>
      <w:pPr>
        <w:ind w:left="8732" w:hanging="318"/>
      </w:pPr>
      <w:rPr>
        <w:rFonts w:hint="default"/>
      </w:rPr>
    </w:lvl>
  </w:abstractNum>
  <w:num w:numId="1" w16cid:durableId="1312056116">
    <w:abstractNumId w:val="0"/>
  </w:num>
  <w:num w:numId="2" w16cid:durableId="1551651944">
    <w:abstractNumId w:val="2"/>
  </w:num>
  <w:num w:numId="3" w16cid:durableId="720591469">
    <w:abstractNumId w:val="4"/>
  </w:num>
  <w:num w:numId="4" w16cid:durableId="1212569383">
    <w:abstractNumId w:val="1"/>
  </w:num>
  <w:num w:numId="5" w16cid:durableId="715814360">
    <w:abstractNumId w:val="5"/>
  </w:num>
  <w:num w:numId="6" w16cid:durableId="648438862">
    <w:abstractNumId w:val="6"/>
  </w:num>
  <w:num w:numId="7" w16cid:durableId="964040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34"/>
    <w:rsid w:val="00004153"/>
    <w:rsid w:val="000463CB"/>
    <w:rsid w:val="002D086E"/>
    <w:rsid w:val="003A1B75"/>
    <w:rsid w:val="003A62E2"/>
    <w:rsid w:val="00406118"/>
    <w:rsid w:val="00594922"/>
    <w:rsid w:val="00672597"/>
    <w:rsid w:val="006E3442"/>
    <w:rsid w:val="007068F9"/>
    <w:rsid w:val="00823C5F"/>
    <w:rsid w:val="0089455F"/>
    <w:rsid w:val="0090759B"/>
    <w:rsid w:val="009A4F34"/>
    <w:rsid w:val="00A5419C"/>
    <w:rsid w:val="00B47EEB"/>
    <w:rsid w:val="00BD2BED"/>
    <w:rsid w:val="00C20ABA"/>
    <w:rsid w:val="00E62831"/>
    <w:rsid w:val="00F90902"/>
    <w:rsid w:val="00FD79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31E07"/>
  <w15:chartTrackingRefBased/>
  <w15:docId w15:val="{CDBA9B1C-9D06-49F1-9F65-B8B497C0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34"/>
    <w:rPr>
      <w:kern w:val="0"/>
      <w:lang w:val="en-US"/>
      <w14:ligatures w14:val="none"/>
    </w:rPr>
  </w:style>
  <w:style w:type="paragraph" w:styleId="Heading2">
    <w:name w:val="heading 2"/>
    <w:basedOn w:val="Normal"/>
    <w:link w:val="Heading2Char"/>
    <w:uiPriority w:val="9"/>
    <w:unhideWhenUsed/>
    <w:qFormat/>
    <w:rsid w:val="000463CB"/>
    <w:pPr>
      <w:widowControl w:val="0"/>
      <w:autoSpaceDE w:val="0"/>
      <w:autoSpaceDN w:val="0"/>
      <w:spacing w:after="0" w:line="240" w:lineRule="auto"/>
      <w:ind w:left="1008" w:hanging="709"/>
      <w:outlineLvl w:val="1"/>
    </w:pPr>
    <w:rPr>
      <w:rFonts w:ascii="Arial" w:eastAsia="Arial" w:hAnsi="Arial" w:cs="Arial"/>
      <w:b/>
      <w:bCs/>
      <w:sz w:val="24"/>
      <w:szCs w:val="24"/>
    </w:rPr>
  </w:style>
  <w:style w:type="paragraph" w:styleId="Heading3">
    <w:name w:val="heading 3"/>
    <w:basedOn w:val="Normal"/>
    <w:link w:val="Heading3Char"/>
    <w:uiPriority w:val="9"/>
    <w:unhideWhenUsed/>
    <w:qFormat/>
    <w:rsid w:val="000463CB"/>
    <w:pPr>
      <w:widowControl w:val="0"/>
      <w:autoSpaceDE w:val="0"/>
      <w:autoSpaceDN w:val="0"/>
      <w:spacing w:after="0" w:line="240" w:lineRule="auto"/>
      <w:ind w:left="300"/>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numbered paragraph,List Paragraph (numbered (a)),Normal 2,References,List_Paragraph,Multilevel para_II,List Paragraph1,Numbered List Paragraph,Bullets,Colorful List - Accent 11,123 List Paragraph,Body,Bullet,Normal 2 DC,Liste 1"/>
    <w:basedOn w:val="Normal"/>
    <w:link w:val="ListParagraphChar"/>
    <w:uiPriority w:val="1"/>
    <w:qFormat/>
    <w:rsid w:val="009A4F34"/>
    <w:pPr>
      <w:ind w:left="720"/>
      <w:contextualSpacing/>
    </w:p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1"/>
    <w:qFormat/>
    <w:locked/>
    <w:rsid w:val="009A4F34"/>
    <w:rPr>
      <w:kern w:val="0"/>
      <w:lang w:val="en-US"/>
      <w14:ligatures w14:val="none"/>
    </w:rPr>
  </w:style>
  <w:style w:type="character" w:styleId="CommentReference">
    <w:name w:val="annotation reference"/>
    <w:basedOn w:val="DefaultParagraphFont"/>
    <w:uiPriority w:val="99"/>
    <w:semiHidden/>
    <w:unhideWhenUsed/>
    <w:rsid w:val="009A4F34"/>
    <w:rPr>
      <w:sz w:val="16"/>
      <w:szCs w:val="16"/>
    </w:rPr>
  </w:style>
  <w:style w:type="paragraph" w:styleId="CommentText">
    <w:name w:val="annotation text"/>
    <w:basedOn w:val="Normal"/>
    <w:link w:val="CommentTextChar"/>
    <w:uiPriority w:val="99"/>
    <w:unhideWhenUsed/>
    <w:rsid w:val="009A4F34"/>
    <w:pPr>
      <w:spacing w:line="240" w:lineRule="auto"/>
    </w:pPr>
    <w:rPr>
      <w:sz w:val="20"/>
      <w:szCs w:val="20"/>
    </w:rPr>
  </w:style>
  <w:style w:type="character" w:customStyle="1" w:styleId="CommentTextChar">
    <w:name w:val="Comment Text Char"/>
    <w:basedOn w:val="DefaultParagraphFont"/>
    <w:link w:val="CommentText"/>
    <w:uiPriority w:val="99"/>
    <w:rsid w:val="009A4F34"/>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A4F34"/>
    <w:rPr>
      <w:b/>
      <w:bCs/>
    </w:rPr>
  </w:style>
  <w:style w:type="character" w:customStyle="1" w:styleId="CommentSubjectChar">
    <w:name w:val="Comment Subject Char"/>
    <w:basedOn w:val="CommentTextChar"/>
    <w:link w:val="CommentSubject"/>
    <w:uiPriority w:val="99"/>
    <w:semiHidden/>
    <w:rsid w:val="009A4F34"/>
    <w:rPr>
      <w:b/>
      <w:bCs/>
      <w:kern w:val="0"/>
      <w:sz w:val="20"/>
      <w:szCs w:val="20"/>
      <w:lang w:val="en-US"/>
      <w14:ligatures w14:val="none"/>
    </w:rPr>
  </w:style>
  <w:style w:type="paragraph" w:styleId="Revision">
    <w:name w:val="Revision"/>
    <w:hidden/>
    <w:uiPriority w:val="99"/>
    <w:semiHidden/>
    <w:rsid w:val="00004153"/>
    <w:pPr>
      <w:spacing w:after="0" w:line="240" w:lineRule="auto"/>
    </w:pPr>
    <w:rPr>
      <w:kern w:val="0"/>
      <w:lang w:val="en-US"/>
      <w14:ligatures w14:val="none"/>
    </w:rPr>
  </w:style>
  <w:style w:type="character" w:customStyle="1" w:styleId="Heading2Char">
    <w:name w:val="Heading 2 Char"/>
    <w:basedOn w:val="DefaultParagraphFont"/>
    <w:link w:val="Heading2"/>
    <w:uiPriority w:val="9"/>
    <w:rsid w:val="000463CB"/>
    <w:rPr>
      <w:rFonts w:ascii="Arial" w:eastAsia="Arial" w:hAnsi="Arial" w:cs="Arial"/>
      <w:b/>
      <w:bCs/>
      <w:kern w:val="0"/>
      <w:sz w:val="24"/>
      <w:szCs w:val="24"/>
      <w:lang w:val="en-US"/>
      <w14:ligatures w14:val="none"/>
    </w:rPr>
  </w:style>
  <w:style w:type="character" w:customStyle="1" w:styleId="Heading3Char">
    <w:name w:val="Heading 3 Char"/>
    <w:basedOn w:val="DefaultParagraphFont"/>
    <w:link w:val="Heading3"/>
    <w:uiPriority w:val="9"/>
    <w:rsid w:val="000463CB"/>
    <w:rPr>
      <w:rFonts w:ascii="Arial" w:eastAsia="Arial" w:hAnsi="Arial" w:cs="Arial"/>
      <w:b/>
      <w:bCs/>
      <w:kern w:val="0"/>
      <w:lang w:val="en-US"/>
      <w14:ligatures w14:val="none"/>
    </w:rPr>
  </w:style>
  <w:style w:type="paragraph" w:styleId="BodyText">
    <w:name w:val="Body Text"/>
    <w:basedOn w:val="Normal"/>
    <w:link w:val="BodyTextChar"/>
    <w:uiPriority w:val="1"/>
    <w:qFormat/>
    <w:rsid w:val="000463C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463CB"/>
    <w:rPr>
      <w:rFonts w:ascii="Arial" w:eastAsia="Arial" w:hAnsi="Arial" w:cs="Arial"/>
      <w:kern w:val="0"/>
      <w:lang w:val="en-US"/>
      <w14:ligatures w14:val="none"/>
    </w:rPr>
  </w:style>
  <w:style w:type="character" w:styleId="Hyperlink">
    <w:name w:val="Hyperlink"/>
    <w:basedOn w:val="DefaultParagraphFont"/>
    <w:uiPriority w:val="99"/>
    <w:unhideWhenUsed/>
    <w:rsid w:val="000463CB"/>
    <w:rPr>
      <w:color w:val="0563C1" w:themeColor="hyperlink"/>
      <w:u w:val="single"/>
    </w:rPr>
  </w:style>
  <w:style w:type="character" w:styleId="UnresolvedMention">
    <w:name w:val="Unresolved Mention"/>
    <w:basedOn w:val="DefaultParagraphFont"/>
    <w:uiPriority w:val="99"/>
    <w:semiHidden/>
    <w:unhideWhenUsed/>
    <w:rsid w:val="00046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wmo.int/records/item/48325-guide-to-the-gcos-surface-network-gsn-and-gcos-upper-air-network-guan?offset=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mo.int/pages/prog/www/IMOP/publications/CIMO-Guide/CIMO_Guide-7th_Edition-2008.html" TargetMode="External"/><Relationship Id="rId5" Type="http://schemas.openxmlformats.org/officeDocument/2006/relationships/styles" Target="styles.xml"/><Relationship Id="rId10" Type="http://schemas.openxmlformats.org/officeDocument/2006/relationships/hyperlink" Target="http://www.wmo.int/pages/prog/www/WMOCodes.html" TargetMode="External"/><Relationship Id="rId4" Type="http://schemas.openxmlformats.org/officeDocument/2006/relationships/numbering" Target="numbering.xml"/><Relationship Id="rId9" Type="http://schemas.openxmlformats.org/officeDocument/2006/relationships/hyperlink" Target="http://www.wmo.int/pages/prog/gcos/Publications/GCOS-127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1" ma:contentTypeDescription="Create a new document." ma:contentTypeScope="" ma:versionID="cc383853a228edf5a59744892d23b01e">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955da9e1805a80adc8909900b94f6c9f"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1a465f0-9ed0-43de-8189-a8c6f1075a5f" xsi:nil="true"/>
    <lcf76f155ced4ddcb4097134ff3c332f xmlns="c1a465f0-9ed0-43de-8189-a8c6f1075a5f">
      <Terms xmlns="http://schemas.microsoft.com/office/infopath/2007/PartnerControls"/>
    </lcf76f155ced4ddcb4097134ff3c332f>
    <TaxCatchAll xmlns="1b00f30f-36d4-4fa1-aff8-52ec48b6e084" xsi:nil="true"/>
  </documentManagement>
</p:properties>
</file>

<file path=customXml/itemProps1.xml><?xml version="1.0" encoding="utf-8"?>
<ds:datastoreItem xmlns:ds="http://schemas.openxmlformats.org/officeDocument/2006/customXml" ds:itemID="{68A953F8-4EAF-4D7B-9AEE-93B825564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E4CFF-9137-4EA5-9B68-8D773ACB0915}">
  <ds:schemaRefs>
    <ds:schemaRef ds:uri="http://schemas.microsoft.com/sharepoint/v3/contenttype/forms"/>
  </ds:schemaRefs>
</ds:datastoreItem>
</file>

<file path=customXml/itemProps3.xml><?xml version="1.0" encoding="utf-8"?>
<ds:datastoreItem xmlns:ds="http://schemas.openxmlformats.org/officeDocument/2006/customXml" ds:itemID="{4C0605B7-A514-402E-99CD-2BD141037054}">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1336</Words>
  <Characters>7498</Characters>
  <Application>Microsoft Office Word</Application>
  <DocSecurity>0</DocSecurity>
  <Lines>182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Oakley</dc:creator>
  <cp:keywords/>
  <dc:description/>
  <cp:lastModifiedBy>Meerim Ashakeeva</cp:lastModifiedBy>
  <cp:revision>10</cp:revision>
  <dcterms:created xsi:type="dcterms:W3CDTF">2024-11-27T13:56:00Z</dcterms:created>
  <dcterms:modified xsi:type="dcterms:W3CDTF">2025-01-20T13:31:00Z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0x0101007372671858FF0B4B80590C0985A5F158</vt:lpwstr>
  </property>
  <property fmtid="{D5CDD505-2E9C-101B-9397-08002B2CF9AE}" pid="3" name="MediaServiceImageTags">
    <vt:lpwstr/>
  </property>
</Properties>
</file>