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A2EDE" w14:paraId="16418E7C" w14:textId="77777777" w:rsidTr="00826D53">
        <w:trPr>
          <w:trHeight w:val="282"/>
        </w:trPr>
        <w:tc>
          <w:tcPr>
            <w:tcW w:w="500" w:type="dxa"/>
            <w:vMerge w:val="restart"/>
            <w:tcBorders>
              <w:bottom w:val="nil"/>
            </w:tcBorders>
            <w:textDirection w:val="btLr"/>
          </w:tcPr>
          <w:p w14:paraId="479E8477" w14:textId="77777777" w:rsidR="00A80767" w:rsidRPr="003A2EDE"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3A2EDE">
              <w:rPr>
                <w:color w:val="365F91" w:themeColor="accent1" w:themeShade="BF"/>
                <w:sz w:val="10"/>
                <w:szCs w:val="10"/>
                <w:lang w:eastAsia="zh-CN"/>
              </w:rPr>
              <w:t>WEATHER CLIMATE WATER</w:t>
            </w:r>
          </w:p>
        </w:tc>
        <w:tc>
          <w:tcPr>
            <w:tcW w:w="6852" w:type="dxa"/>
            <w:vMerge w:val="restart"/>
          </w:tcPr>
          <w:p w14:paraId="274CAE76" w14:textId="77777777" w:rsidR="00A80767" w:rsidRPr="003A2EDE"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3A2EDE">
              <w:rPr>
                <w:noProof/>
                <w:color w:val="365F91" w:themeColor="accent1" w:themeShade="BF"/>
                <w:szCs w:val="22"/>
                <w:lang w:eastAsia="zh-CN"/>
              </w:rPr>
              <w:drawing>
                <wp:anchor distT="0" distB="0" distL="114300" distR="114300" simplePos="0" relativeHeight="251659264" behindDoc="1" locked="1" layoutInCell="1" allowOverlap="1" wp14:anchorId="3A20BDCA" wp14:editId="151DB79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CB2" w:rsidRPr="003A2EDE">
              <w:rPr>
                <w:rFonts w:cs="Tahoma"/>
                <w:b/>
                <w:bCs/>
                <w:color w:val="365F91" w:themeColor="accent1" w:themeShade="BF"/>
                <w:szCs w:val="22"/>
              </w:rPr>
              <w:t>World Meteorological Organization</w:t>
            </w:r>
          </w:p>
          <w:p w14:paraId="43CDA78E" w14:textId="77777777" w:rsidR="00A80767" w:rsidRPr="003A2EDE" w:rsidRDefault="002C3CB2" w:rsidP="00826D53">
            <w:pPr>
              <w:tabs>
                <w:tab w:val="left" w:pos="6946"/>
              </w:tabs>
              <w:suppressAutoHyphens/>
              <w:spacing w:after="120" w:line="252" w:lineRule="auto"/>
              <w:ind w:left="1134"/>
              <w:jc w:val="left"/>
              <w:rPr>
                <w:rFonts w:cs="Tahoma"/>
                <w:b/>
                <w:color w:val="365F91" w:themeColor="accent1" w:themeShade="BF"/>
                <w:spacing w:val="-2"/>
                <w:szCs w:val="22"/>
              </w:rPr>
            </w:pPr>
            <w:r w:rsidRPr="003A2EDE">
              <w:rPr>
                <w:rFonts w:cs="Tahoma"/>
                <w:b/>
                <w:color w:val="365F91" w:themeColor="accent1" w:themeShade="BF"/>
                <w:spacing w:val="-2"/>
                <w:szCs w:val="22"/>
              </w:rPr>
              <w:t>REGIONAL ASSOCIATION IV (NORTH AMERICA, CENTRAL AMERICA AND THE CARIBBEAN)</w:t>
            </w:r>
          </w:p>
          <w:p w14:paraId="43A1BF63" w14:textId="77777777" w:rsidR="00A80767" w:rsidRPr="003A2EDE" w:rsidRDefault="002C3CB2" w:rsidP="00826D53">
            <w:pPr>
              <w:tabs>
                <w:tab w:val="left" w:pos="6946"/>
              </w:tabs>
              <w:suppressAutoHyphens/>
              <w:spacing w:after="120" w:line="252" w:lineRule="auto"/>
              <w:ind w:left="1134"/>
              <w:jc w:val="left"/>
              <w:rPr>
                <w:rFonts w:cs="Tahoma"/>
                <w:b/>
                <w:bCs/>
                <w:color w:val="365F91" w:themeColor="accent1" w:themeShade="BF"/>
                <w:szCs w:val="22"/>
              </w:rPr>
            </w:pPr>
            <w:r w:rsidRPr="003A2EDE">
              <w:rPr>
                <w:rFonts w:cstheme="minorBidi"/>
                <w:b/>
                <w:snapToGrid w:val="0"/>
                <w:color w:val="365F91" w:themeColor="accent1" w:themeShade="BF"/>
                <w:szCs w:val="22"/>
              </w:rPr>
              <w:t>Nineteenth Session (</w:t>
            </w:r>
            <w:r w:rsidR="002D0385">
              <w:rPr>
                <w:rFonts w:cstheme="minorBidi"/>
                <w:b/>
                <w:snapToGrid w:val="0"/>
                <w:color w:val="365F91" w:themeColor="accent1" w:themeShade="BF"/>
                <w:szCs w:val="22"/>
              </w:rPr>
              <w:t>Phase I</w:t>
            </w:r>
            <w:r w:rsidRPr="003A2EDE">
              <w:rPr>
                <w:rFonts w:cstheme="minorBidi"/>
                <w:b/>
                <w:snapToGrid w:val="0"/>
                <w:color w:val="365F91" w:themeColor="accent1" w:themeShade="BF"/>
                <w:szCs w:val="22"/>
              </w:rPr>
              <w:t>)</w:t>
            </w:r>
            <w:r w:rsidR="00A80767" w:rsidRPr="003A2EDE">
              <w:rPr>
                <w:rFonts w:cstheme="minorBidi"/>
                <w:b/>
                <w:snapToGrid w:val="0"/>
                <w:color w:val="365F91" w:themeColor="accent1" w:themeShade="BF"/>
                <w:szCs w:val="22"/>
              </w:rPr>
              <w:br/>
            </w:r>
            <w:r w:rsidRPr="003A2EDE">
              <w:rPr>
                <w:snapToGrid w:val="0"/>
                <w:color w:val="365F91" w:themeColor="accent1" w:themeShade="BF"/>
                <w:szCs w:val="22"/>
              </w:rPr>
              <w:t>27 to 29</w:t>
            </w:r>
            <w:r w:rsidR="005B62B1">
              <w:rPr>
                <w:snapToGrid w:val="0"/>
                <w:color w:val="365F91" w:themeColor="accent1" w:themeShade="BF"/>
                <w:szCs w:val="22"/>
              </w:rPr>
              <w:t> </w:t>
            </w:r>
            <w:r w:rsidRPr="003A2EDE">
              <w:rPr>
                <w:snapToGrid w:val="0"/>
                <w:color w:val="365F91" w:themeColor="accent1" w:themeShade="BF"/>
                <w:szCs w:val="22"/>
              </w:rPr>
              <w:t>March</w:t>
            </w:r>
            <w:r w:rsidR="005B62B1">
              <w:rPr>
                <w:snapToGrid w:val="0"/>
                <w:color w:val="365F91" w:themeColor="accent1" w:themeShade="BF"/>
                <w:szCs w:val="22"/>
              </w:rPr>
              <w:t> </w:t>
            </w:r>
            <w:r w:rsidRPr="003A2EDE">
              <w:rPr>
                <w:snapToGrid w:val="0"/>
                <w:color w:val="365F91" w:themeColor="accent1" w:themeShade="BF"/>
                <w:szCs w:val="22"/>
              </w:rPr>
              <w:t>2025, San Salvador, El Salvador</w:t>
            </w:r>
          </w:p>
        </w:tc>
        <w:tc>
          <w:tcPr>
            <w:tcW w:w="2962" w:type="dxa"/>
          </w:tcPr>
          <w:p w14:paraId="2F3819C6" w14:textId="77777777" w:rsidR="00A80767" w:rsidRPr="003A2EDE" w:rsidRDefault="002C3CB2" w:rsidP="00C97C42">
            <w:pPr>
              <w:tabs>
                <w:tab w:val="clear" w:pos="1134"/>
              </w:tabs>
              <w:spacing w:after="60"/>
              <w:jc w:val="right"/>
              <w:rPr>
                <w:rFonts w:cs="Tahoma"/>
                <w:b/>
                <w:bCs/>
                <w:color w:val="365F91" w:themeColor="accent1" w:themeShade="BF"/>
                <w:szCs w:val="22"/>
              </w:rPr>
            </w:pPr>
            <w:r w:rsidRPr="003A2EDE">
              <w:rPr>
                <w:rFonts w:cs="Tahoma"/>
                <w:b/>
                <w:bCs/>
                <w:color w:val="365F91" w:themeColor="accent1" w:themeShade="BF"/>
                <w:szCs w:val="22"/>
              </w:rPr>
              <w:t>RA IV-19(I)/Doc. 3.1</w:t>
            </w:r>
          </w:p>
        </w:tc>
      </w:tr>
      <w:tr w:rsidR="00A80767" w:rsidRPr="003A2EDE" w14:paraId="229BD640" w14:textId="77777777" w:rsidTr="00826D53">
        <w:trPr>
          <w:trHeight w:val="730"/>
        </w:trPr>
        <w:tc>
          <w:tcPr>
            <w:tcW w:w="500" w:type="dxa"/>
            <w:vMerge/>
            <w:tcBorders>
              <w:bottom w:val="nil"/>
            </w:tcBorders>
          </w:tcPr>
          <w:p w14:paraId="6C03DE72" w14:textId="77777777" w:rsidR="00A80767" w:rsidRPr="003A2ED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B79AC7B" w14:textId="77777777" w:rsidR="00A80767" w:rsidRPr="003A2ED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5DAC845" w14:textId="2D36C939" w:rsidR="00A80767" w:rsidRPr="003A2EDE" w:rsidRDefault="00A80767" w:rsidP="00C97C42">
            <w:pPr>
              <w:tabs>
                <w:tab w:val="clear" w:pos="1134"/>
              </w:tabs>
              <w:spacing w:before="120" w:after="60"/>
              <w:jc w:val="right"/>
              <w:rPr>
                <w:rFonts w:cs="Tahoma"/>
                <w:color w:val="365F91" w:themeColor="accent1" w:themeShade="BF"/>
                <w:szCs w:val="22"/>
              </w:rPr>
            </w:pPr>
            <w:r w:rsidRPr="003A2EDE">
              <w:rPr>
                <w:rFonts w:cs="Tahoma"/>
                <w:color w:val="365F91" w:themeColor="accent1" w:themeShade="BF"/>
                <w:szCs w:val="22"/>
              </w:rPr>
              <w:t>Submitted by:</w:t>
            </w:r>
            <w:r w:rsidRPr="003A2EDE">
              <w:rPr>
                <w:rFonts w:cs="Tahoma"/>
                <w:color w:val="365F91" w:themeColor="accent1" w:themeShade="BF"/>
                <w:szCs w:val="22"/>
              </w:rPr>
              <w:br/>
            </w:r>
            <w:r w:rsidR="00FA09CB">
              <w:rPr>
                <w:rFonts w:cs="Tahoma"/>
                <w:color w:val="365F91" w:themeColor="accent1" w:themeShade="BF"/>
                <w:szCs w:val="22"/>
              </w:rPr>
              <w:t>Chair</w:t>
            </w:r>
          </w:p>
          <w:p w14:paraId="2541D3F6" w14:textId="29D24C67" w:rsidR="00A80767" w:rsidRPr="003A2EDE" w:rsidRDefault="00C97C42" w:rsidP="00C97C42">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813626">
              <w:rPr>
                <w:rFonts w:cs="Tahoma"/>
                <w:color w:val="365F91" w:themeColor="accent1" w:themeShade="BF"/>
                <w:szCs w:val="22"/>
              </w:rPr>
              <w:t>8</w:t>
            </w:r>
            <w:r w:rsidR="00407890">
              <w:rPr>
                <w:rFonts w:cs="Tahoma"/>
                <w:color w:val="365F91" w:themeColor="accent1" w:themeShade="BF"/>
                <w:szCs w:val="22"/>
              </w:rPr>
              <w:t>.III</w:t>
            </w:r>
            <w:r w:rsidR="002C3CB2" w:rsidRPr="003A2EDE">
              <w:rPr>
                <w:rFonts w:cs="Tahoma"/>
                <w:color w:val="365F91" w:themeColor="accent1" w:themeShade="BF"/>
                <w:szCs w:val="22"/>
              </w:rPr>
              <w:t>.2025</w:t>
            </w:r>
          </w:p>
          <w:p w14:paraId="696D567D" w14:textId="03C9C3D8" w:rsidR="00A80767" w:rsidRPr="003A2EDE" w:rsidRDefault="00813626" w:rsidP="00C97C42">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4F770AC0" w14:textId="77777777" w:rsidR="00A80767" w:rsidRPr="003A2EDE" w:rsidRDefault="002C3CB2" w:rsidP="00A80767">
      <w:pPr>
        <w:pStyle w:val="WMOBodyText"/>
        <w:ind w:left="2977" w:hanging="2977"/>
      </w:pPr>
      <w:r w:rsidRPr="003A2EDE">
        <w:rPr>
          <w:b/>
          <w:bCs/>
        </w:rPr>
        <w:t>AGENDA ITEM 3:</w:t>
      </w:r>
      <w:r w:rsidRPr="003A2EDE">
        <w:rPr>
          <w:b/>
          <w:bCs/>
        </w:rPr>
        <w:tab/>
        <w:t>OPERATIONAL MATTERS</w:t>
      </w:r>
    </w:p>
    <w:p w14:paraId="24E435C1" w14:textId="77777777" w:rsidR="00A80767" w:rsidRPr="003A2EDE" w:rsidRDefault="002C3CB2" w:rsidP="00A80767">
      <w:pPr>
        <w:pStyle w:val="WMOBodyText"/>
        <w:ind w:left="2977" w:hanging="2977"/>
      </w:pPr>
      <w:r w:rsidRPr="003A2EDE">
        <w:rPr>
          <w:b/>
          <w:bCs/>
        </w:rPr>
        <w:t>AGENDA ITEM 3.1:</w:t>
      </w:r>
      <w:r w:rsidRPr="003A2EDE">
        <w:rPr>
          <w:b/>
          <w:bCs/>
        </w:rPr>
        <w:tab/>
        <w:t>Infrastructure matters</w:t>
      </w:r>
    </w:p>
    <w:p w14:paraId="61EEE3F6" w14:textId="77777777" w:rsidR="00A80767" w:rsidRPr="003A2EDE" w:rsidRDefault="00423F9B" w:rsidP="00A80767">
      <w:pPr>
        <w:pStyle w:val="Heading1"/>
      </w:pPr>
      <w:bookmarkStart w:id="0" w:name="_APPENDIX_A:_"/>
      <w:bookmarkEnd w:id="0"/>
      <w:r w:rsidRPr="003A2EDE">
        <w:t>Infrastructure matters</w:t>
      </w:r>
    </w:p>
    <w:p w14:paraId="7CC0A83E" w14:textId="77777777" w:rsidR="0037222D" w:rsidRPr="003A2EDE" w:rsidRDefault="0037222D" w:rsidP="0037222D">
      <w:pPr>
        <w:pStyle w:val="Heading1"/>
      </w:pPr>
      <w:r w:rsidRPr="003A2EDE">
        <w:t>DRAFT DECISION</w:t>
      </w:r>
      <w:r w:rsidR="00A47C2D" w:rsidRPr="003A2EDE">
        <w:t>S</w:t>
      </w:r>
    </w:p>
    <w:p w14:paraId="06034B9D" w14:textId="77777777" w:rsidR="0037222D" w:rsidRPr="003A2EDE" w:rsidRDefault="0037222D" w:rsidP="0037222D">
      <w:pPr>
        <w:pStyle w:val="Heading2"/>
      </w:pPr>
      <w:r w:rsidRPr="003A2EDE">
        <w:t>Draft Decision</w:t>
      </w:r>
      <w:r w:rsidR="005B62B1">
        <w:t> 3</w:t>
      </w:r>
      <w:r w:rsidR="002C3CB2" w:rsidRPr="003A2EDE">
        <w:t>.1</w:t>
      </w:r>
      <w:r w:rsidRPr="003A2EDE">
        <w:t xml:space="preserve">/1 </w:t>
      </w:r>
      <w:r w:rsidR="002C3CB2" w:rsidRPr="003A2EDE">
        <w:t>(RA IV-19(I))</w:t>
      </w:r>
    </w:p>
    <w:p w14:paraId="47786787" w14:textId="77777777" w:rsidR="0037222D" w:rsidRPr="006C4CD5" w:rsidRDefault="00324535" w:rsidP="00324535">
      <w:pPr>
        <w:pStyle w:val="Heading3"/>
        <w:rPr>
          <w:sz w:val="22"/>
          <w:szCs w:val="22"/>
        </w:rPr>
      </w:pPr>
      <w:r w:rsidRPr="006C4CD5">
        <w:rPr>
          <w:sz w:val="22"/>
          <w:szCs w:val="22"/>
        </w:rPr>
        <w:t>Regional design of the upper</w:t>
      </w:r>
      <w:r w:rsidR="00775981" w:rsidRPr="006C4CD5">
        <w:rPr>
          <w:sz w:val="22"/>
          <w:szCs w:val="22"/>
        </w:rPr>
        <w:t>-</w:t>
      </w:r>
      <w:r w:rsidRPr="006C4CD5">
        <w:rPr>
          <w:sz w:val="22"/>
          <w:szCs w:val="22"/>
        </w:rPr>
        <w:t>air component of the Global Basic Observing Network (GBON)</w:t>
      </w:r>
    </w:p>
    <w:p w14:paraId="7128874C" w14:textId="77777777" w:rsidR="0037222D" w:rsidRPr="003A2EDE" w:rsidRDefault="002C3CB2" w:rsidP="0037222D">
      <w:pPr>
        <w:pStyle w:val="WMOBodyText"/>
        <w:rPr>
          <w:b/>
          <w:bCs/>
        </w:rPr>
      </w:pPr>
      <w:r w:rsidRPr="003A2EDE">
        <w:rPr>
          <w:b/>
          <w:bCs/>
        </w:rPr>
        <w:t>Regional Association IV (North America, Central America and the Caribbean)</w:t>
      </w:r>
      <w:r w:rsidR="00307DDD" w:rsidRPr="003A2EDE">
        <w:rPr>
          <w:b/>
          <w:bCs/>
        </w:rPr>
        <w:t>:</w:t>
      </w:r>
    </w:p>
    <w:p w14:paraId="3ADB65F9" w14:textId="77777777" w:rsidR="004E3192" w:rsidRPr="003A2EDE" w:rsidRDefault="004E3192" w:rsidP="004E3192">
      <w:pPr>
        <w:pStyle w:val="WMOBodyText"/>
      </w:pPr>
      <w:r w:rsidRPr="003A2EDE">
        <w:rPr>
          <w:b/>
          <w:bCs/>
        </w:rPr>
        <w:t xml:space="preserve">Recalling </w:t>
      </w:r>
      <w:hyperlink r:id="rId12" w:anchor="page=29" w:history="1">
        <w:r w:rsidRPr="003A2EDE">
          <w:rPr>
            <w:rStyle w:val="Hyperlink"/>
          </w:rPr>
          <w:t>Resolution</w:t>
        </w:r>
        <w:r w:rsidR="00775981">
          <w:rPr>
            <w:rStyle w:val="Hyperlink"/>
          </w:rPr>
          <w:t> 2</w:t>
        </w:r>
        <w:r w:rsidRPr="003A2EDE">
          <w:rPr>
            <w:rStyle w:val="Hyperlink"/>
          </w:rPr>
          <w:t xml:space="preserve"> (Cg-Ext(2021))</w:t>
        </w:r>
      </w:hyperlink>
      <w:r w:rsidRPr="003A2EDE">
        <w:t xml:space="preserve"> </w:t>
      </w:r>
      <w:r w:rsidR="00734062" w:rsidRPr="003A2EDE">
        <w:t xml:space="preserve">– </w:t>
      </w:r>
      <w:r w:rsidRPr="003A2EDE">
        <w:t>Amendments</w:t>
      </w:r>
      <w:r w:rsidR="00734062" w:rsidRPr="003A2EDE">
        <w:t xml:space="preserve"> </w:t>
      </w:r>
      <w:r w:rsidRPr="003A2EDE">
        <w:t>to the Technical Regulations related to establishment of the Global Basic Observing Network (GBON),</w:t>
      </w:r>
    </w:p>
    <w:p w14:paraId="0DE3C293" w14:textId="77777777" w:rsidR="004E3192" w:rsidRPr="003A2EDE" w:rsidRDefault="004E3192" w:rsidP="004E3192">
      <w:pPr>
        <w:pStyle w:val="WMOBodyText"/>
        <w:rPr>
          <w:b/>
          <w:bCs/>
        </w:rPr>
      </w:pPr>
      <w:r w:rsidRPr="003A2EDE">
        <w:rPr>
          <w:b/>
          <w:bCs/>
        </w:rPr>
        <w:t>Noting</w:t>
      </w:r>
      <w:r w:rsidR="009534C6">
        <w:rPr>
          <w:b/>
          <w:bCs/>
        </w:rPr>
        <w:t>:</w:t>
      </w:r>
    </w:p>
    <w:p w14:paraId="75AC2EF5" w14:textId="77777777" w:rsidR="004E3192" w:rsidRPr="003A2EDE" w:rsidRDefault="004E3192" w:rsidP="004E3192">
      <w:pPr>
        <w:pStyle w:val="WMOIndent1"/>
      </w:pPr>
      <w:r w:rsidRPr="003A2EDE">
        <w:t>(1)</w:t>
      </w:r>
      <w:r w:rsidRPr="003A2EDE">
        <w:tab/>
        <w:t xml:space="preserve">Provision </w:t>
      </w:r>
      <w:hyperlink r:id="rId13" w:history="1">
        <w:r w:rsidRPr="006754A0">
          <w:rPr>
            <w:rStyle w:val="Hyperlink"/>
          </w:rPr>
          <w:t>3.2.2.12</w:t>
        </w:r>
      </w:hyperlink>
      <w:r w:rsidRPr="003A2EDE">
        <w:t xml:space="preserve"> of the </w:t>
      </w:r>
      <w:hyperlink r:id="rId14" w:history="1">
        <w:r w:rsidRPr="00A609E0">
          <w:rPr>
            <w:rStyle w:val="Hyperlink"/>
            <w:i/>
            <w:iCs/>
          </w:rPr>
          <w:t>Manual on the WMO Integrated Global Observing System</w:t>
        </w:r>
      </w:hyperlink>
      <w:r w:rsidRPr="003A2EDE">
        <w:t xml:space="preserve"> (</w:t>
      </w:r>
      <w:r w:rsidRPr="00A609E0">
        <w:t>WMO-No.</w:t>
      </w:r>
      <w:r w:rsidR="00775981">
        <w:t> 1</w:t>
      </w:r>
      <w:r w:rsidRPr="00A609E0">
        <w:t>160</w:t>
      </w:r>
      <w:r w:rsidRPr="003A2EDE">
        <w:t>) which sets the minimum horizontal resolution of upper-air stations/platforms over land at 500</w:t>
      </w:r>
      <w:r w:rsidR="005B62B1">
        <w:t> </w:t>
      </w:r>
      <w:r w:rsidRPr="003A2EDE">
        <w:t>km or higher,</w:t>
      </w:r>
    </w:p>
    <w:p w14:paraId="699257A0" w14:textId="77777777" w:rsidR="004E3192" w:rsidRPr="003A2EDE" w:rsidRDefault="004E3192" w:rsidP="004E3192">
      <w:pPr>
        <w:pStyle w:val="WMOIndent1"/>
      </w:pPr>
      <w:r w:rsidRPr="003A2EDE">
        <w:t>(2)</w:t>
      </w:r>
      <w:r w:rsidRPr="003A2EDE">
        <w:tab/>
        <w:t xml:space="preserve">Provision </w:t>
      </w:r>
      <w:hyperlink r:id="rId15" w:history="1">
        <w:r w:rsidRPr="00A609E0">
          <w:rPr>
            <w:rStyle w:val="Hyperlink"/>
          </w:rPr>
          <w:t>3.2.2.15</w:t>
        </w:r>
      </w:hyperlink>
      <w:r w:rsidRPr="003A2EDE">
        <w:t xml:space="preserve"> of the </w:t>
      </w:r>
      <w:r w:rsidRPr="00530095">
        <w:rPr>
          <w:i/>
          <w:iCs/>
        </w:rPr>
        <w:t xml:space="preserve">Manual on the WMO Integrated Global Observing System </w:t>
      </w:r>
      <w:r w:rsidRPr="003A2EDE">
        <w:t>(</w:t>
      </w:r>
      <w:r w:rsidRPr="00A609E0">
        <w:t>WMO-No.</w:t>
      </w:r>
      <w:r w:rsidR="00775981">
        <w:t> 1</w:t>
      </w:r>
      <w:r w:rsidRPr="00A609E0">
        <w:t>160</w:t>
      </w:r>
      <w:r w:rsidRPr="003A2EDE">
        <w:t>) which sets the minimum horizontal resolution of upper-air stations/platforms over marine areas of Members’ jurisdiction at 1000</w:t>
      </w:r>
      <w:r w:rsidR="005B62B1">
        <w:t> </w:t>
      </w:r>
      <w:r w:rsidRPr="003A2EDE">
        <w:t>km or higher,</w:t>
      </w:r>
    </w:p>
    <w:p w14:paraId="2E38813F" w14:textId="77777777" w:rsidR="004E3192" w:rsidRPr="003A2EDE" w:rsidRDefault="004E3192" w:rsidP="004E3192">
      <w:pPr>
        <w:pStyle w:val="WMOIndent1"/>
      </w:pPr>
      <w:r w:rsidRPr="003A2EDE">
        <w:t>(3)</w:t>
      </w:r>
      <w:r w:rsidRPr="003A2EDE">
        <w:tab/>
        <w:t>Chapter</w:t>
      </w:r>
      <w:r w:rsidR="00775981">
        <w:t> 4</w:t>
      </w:r>
      <w:r w:rsidRPr="003A2EDE">
        <w:t xml:space="preserve"> of the </w:t>
      </w:r>
      <w:hyperlink r:id="rId16" w:history="1">
        <w:r w:rsidRPr="007615BA">
          <w:rPr>
            <w:rStyle w:val="Hyperlink"/>
            <w:i/>
            <w:iCs/>
          </w:rPr>
          <w:t>Guide to the WMO Integrated Global Observing System</w:t>
        </w:r>
      </w:hyperlink>
      <w:r w:rsidRPr="003A2EDE">
        <w:t xml:space="preserve"> (</w:t>
      </w:r>
      <w:r w:rsidRPr="00A965DA">
        <w:t>WMO</w:t>
      </w:r>
      <w:r w:rsidR="00982DF3">
        <w:noBreakHyphen/>
      </w:r>
      <w:r w:rsidRPr="00A965DA">
        <w:t>No.</w:t>
      </w:r>
      <w:r w:rsidR="00A609E0" w:rsidRPr="00A965DA">
        <w:t> </w:t>
      </w:r>
      <w:r w:rsidRPr="00A965DA">
        <w:t>1165</w:t>
      </w:r>
      <w:r w:rsidRPr="003A2EDE">
        <w:t xml:space="preserve">) which defines Member-level compliance with GBON provisions, with a minimum number of </w:t>
      </w:r>
      <w:r w:rsidR="00A73064" w:rsidRPr="003A2EDE">
        <w:t xml:space="preserve">upper-air </w:t>
      </w:r>
      <w:r w:rsidRPr="003A2EDE">
        <w:t>stations defined at the Member level and rounded up to one,</w:t>
      </w:r>
    </w:p>
    <w:p w14:paraId="48C32BD9" w14:textId="77777777" w:rsidR="004E3192" w:rsidRDefault="004E3192" w:rsidP="004E3192">
      <w:pPr>
        <w:pStyle w:val="WMOIndent1"/>
      </w:pPr>
      <w:r w:rsidRPr="003A2EDE">
        <w:t>(4)</w:t>
      </w:r>
      <w:r w:rsidRPr="003A2EDE">
        <w:tab/>
        <w:t xml:space="preserve">The density of Members in the Caribbean subregion of </w:t>
      </w:r>
      <w:r w:rsidR="00B42C55" w:rsidRPr="003A2EDE">
        <w:t>RA</w:t>
      </w:r>
      <w:r w:rsidRPr="003A2EDE">
        <w:t xml:space="preserve"> IV, requiring regional cooperation in the design of </w:t>
      </w:r>
      <w:r w:rsidR="00B42C55" w:rsidRPr="003A2EDE">
        <w:t xml:space="preserve">the GBON </w:t>
      </w:r>
      <w:r w:rsidRPr="003A2EDE">
        <w:t>upper-air stations/platforms component</w:t>
      </w:r>
      <w:r w:rsidR="00A965DA">
        <w:t>,</w:t>
      </w:r>
    </w:p>
    <w:p w14:paraId="0275F522" w14:textId="77777777" w:rsidR="00813626" w:rsidRPr="003A2EDE" w:rsidRDefault="00813626" w:rsidP="00BF3EFC">
      <w:pPr>
        <w:pStyle w:val="WMOIndent1"/>
        <w:tabs>
          <w:tab w:val="clear" w:pos="567"/>
          <w:tab w:val="left" w:pos="142"/>
        </w:tabs>
        <w:ind w:left="0" w:firstLine="0"/>
      </w:pPr>
      <w:r w:rsidRPr="00813626">
        <w:rPr>
          <w:b/>
          <w:bCs/>
        </w:rPr>
        <w:t>Noting with appreciation</w:t>
      </w:r>
      <w:r>
        <w:t xml:space="preserve"> the existence of different programmes to support </w:t>
      </w:r>
      <w:r w:rsidR="00B90C49">
        <w:t xml:space="preserve">measurements made from </w:t>
      </w:r>
      <w:r>
        <w:t>regional upper-air stations in the Caribbean, [</w:t>
      </w:r>
      <w:r w:rsidRPr="007044F1">
        <w:rPr>
          <w:i/>
          <w:iCs/>
        </w:rPr>
        <w:t>USA, Bahamas, Dominican Republic</w:t>
      </w:r>
      <w:r>
        <w:t>]</w:t>
      </w:r>
    </w:p>
    <w:p w14:paraId="0249CFE7" w14:textId="77777777" w:rsidR="004E3192" w:rsidRPr="003A2EDE" w:rsidRDefault="004E3192" w:rsidP="004E3192">
      <w:pPr>
        <w:pStyle w:val="WMOBodyText"/>
      </w:pPr>
      <w:r w:rsidRPr="003A2EDE">
        <w:rPr>
          <w:b/>
          <w:bCs/>
        </w:rPr>
        <w:t xml:space="preserve">Decides </w:t>
      </w:r>
      <w:r w:rsidRPr="003A2EDE">
        <w:t>that the sub</w:t>
      </w:r>
      <w:r w:rsidR="00617BF5">
        <w:t>regional</w:t>
      </w:r>
      <w:r w:rsidRPr="003A2EDE">
        <w:t xml:space="preserve"> design of the upper-air stations/platforms for the Caribbean</w:t>
      </w:r>
      <w:r w:rsidR="001B6036">
        <w:t>:</w:t>
      </w:r>
    </w:p>
    <w:p w14:paraId="64B98D63" w14:textId="77777777" w:rsidR="004E3192" w:rsidRPr="003A2EDE" w:rsidRDefault="004E3192" w:rsidP="004E3192">
      <w:pPr>
        <w:pStyle w:val="WMOIndent1"/>
      </w:pPr>
      <w:r w:rsidRPr="003A2EDE">
        <w:t>(1)</w:t>
      </w:r>
      <w:r w:rsidRPr="003A2EDE">
        <w:tab/>
        <w:t xml:space="preserve">Covering the following Members of Regional Association IV: Antigua and Barbuda, Bahamas, Barbados, British Caribbean Territories (Anguilla, British Virgin Islands, Cayman Islands, Montserrat and Turks and Caicos Islands), </w:t>
      </w:r>
      <w:r w:rsidR="00813626" w:rsidRPr="00813626">
        <w:t>Colombia (San Andres Isla</w:t>
      </w:r>
      <w:r w:rsidR="00813626">
        <w:t>nds</w:t>
      </w:r>
      <w:r w:rsidR="00813626" w:rsidRPr="00813626">
        <w:t>) [</w:t>
      </w:r>
      <w:r w:rsidR="00813626" w:rsidRPr="007044F1">
        <w:rPr>
          <w:i/>
          <w:iCs/>
        </w:rPr>
        <w:t>Colombia</w:t>
      </w:r>
      <w:r w:rsidR="00813626" w:rsidRPr="00813626">
        <w:t xml:space="preserve">], </w:t>
      </w:r>
      <w:r w:rsidRPr="003A2EDE">
        <w:t xml:space="preserve">Cuba, Curaçao and Sint Maarten, Dominica, the Dominican Republic, France (Saint-Barthélémy, Guadeloupe, and Martinique only), Guyana (Regional </w:t>
      </w:r>
      <w:r w:rsidRPr="003A2EDE">
        <w:lastRenderedPageBreak/>
        <w:t>Association III), Grenada</w:t>
      </w:r>
      <w:r w:rsidR="00A056B0" w:rsidRPr="003A2EDE">
        <w:rPr>
          <w:rStyle w:val="FootnoteReference"/>
        </w:rPr>
        <w:footnoteReference w:customMarkFollows="1" w:id="2"/>
        <w:t>*</w:t>
      </w:r>
      <w:r w:rsidRPr="003A2EDE">
        <w:t>, Haiti, Jamaica, Netherlands (Saba, Bonaire and Aruba only), Saint Kitts and Nevis</w:t>
      </w:r>
      <w:r w:rsidRPr="003A2EDE">
        <w:rPr>
          <w:vertAlign w:val="superscript"/>
        </w:rPr>
        <w:t>*</w:t>
      </w:r>
      <w:r w:rsidRPr="003A2EDE">
        <w:t>, Saint Lucia, Saint Vincent and the Grenadines</w:t>
      </w:r>
      <w:r w:rsidRPr="003A2EDE">
        <w:rPr>
          <w:vertAlign w:val="superscript"/>
        </w:rPr>
        <w:t>*</w:t>
      </w:r>
      <w:r w:rsidRPr="003A2EDE">
        <w:t>, Trinidad and Tobago, and the United States of America (Puerto Rico and US Virgin Islands only)</w:t>
      </w:r>
      <w:r w:rsidR="003A015F">
        <w:t>;</w:t>
      </w:r>
    </w:p>
    <w:p w14:paraId="3D71EFD8" w14:textId="77777777" w:rsidR="004E3192" w:rsidRPr="003A2EDE" w:rsidRDefault="00A46F49" w:rsidP="00B0176E">
      <w:pPr>
        <w:pStyle w:val="WMOIndent1"/>
        <w:keepNext/>
        <w:spacing w:after="240"/>
      </w:pPr>
      <w:r w:rsidRPr="003A2EDE">
        <w:t>(2)</w:t>
      </w:r>
      <w:r w:rsidRPr="003A2EDE">
        <w:tab/>
      </w:r>
      <w:r w:rsidR="004E3192" w:rsidRPr="003A2EDE">
        <w:t>Shall consist of the following stations: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4E3192" w:rsidRPr="00B45FC1" w14:paraId="6E331C7C" w14:textId="77777777" w:rsidTr="00A424BC">
        <w:trPr>
          <w:trHeight w:val="5121"/>
        </w:trPr>
        <w:tc>
          <w:tcPr>
            <w:tcW w:w="9576" w:type="dxa"/>
          </w:tcPr>
          <w:tbl>
            <w:tblPr>
              <w:tblW w:w="0" w:type="auto"/>
              <w:tblBorders>
                <w:top w:val="dotted" w:sz="4" w:space="0" w:color="auto"/>
                <w:bottom w:val="dotted" w:sz="4" w:space="0" w:color="auto"/>
                <w:insideH w:val="dotted" w:sz="4" w:space="0" w:color="auto"/>
                <w:insideV w:val="dotted" w:sz="4" w:space="0" w:color="auto"/>
              </w:tblBorders>
              <w:tblLayout w:type="fixed"/>
              <w:tblLook w:val="04A0" w:firstRow="1" w:lastRow="0" w:firstColumn="1" w:lastColumn="0" w:noHBand="0" w:noVBand="1"/>
            </w:tblPr>
            <w:tblGrid>
              <w:gridCol w:w="4341"/>
              <w:gridCol w:w="2209"/>
              <w:gridCol w:w="1417"/>
              <w:gridCol w:w="1383"/>
            </w:tblGrid>
            <w:tr w:rsidR="00A056B0" w:rsidRPr="00A424BC" w14:paraId="2093C85C" w14:textId="77777777" w:rsidTr="00B4457C">
              <w:trPr>
                <w:trHeight w:val="332"/>
              </w:trPr>
              <w:tc>
                <w:tcPr>
                  <w:tcW w:w="4341" w:type="dxa"/>
                  <w:shd w:val="clear" w:color="000000" w:fill="D9D9D9"/>
                  <w:noWrap/>
                  <w:vAlign w:val="bottom"/>
                  <w:hideMark/>
                </w:tcPr>
                <w:p w14:paraId="570AFE58"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Station</w:t>
                  </w:r>
                </w:p>
              </w:tc>
              <w:tc>
                <w:tcPr>
                  <w:tcW w:w="2209" w:type="dxa"/>
                  <w:shd w:val="clear" w:color="000000" w:fill="D9D9D9"/>
                  <w:noWrap/>
                  <w:vAlign w:val="bottom"/>
                  <w:hideMark/>
                </w:tcPr>
                <w:p w14:paraId="5BCC5DBE"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Member</w:t>
                  </w:r>
                </w:p>
              </w:tc>
              <w:tc>
                <w:tcPr>
                  <w:tcW w:w="1417" w:type="dxa"/>
                  <w:shd w:val="clear" w:color="000000" w:fill="D9D9D9"/>
                  <w:noWrap/>
                  <w:vAlign w:val="bottom"/>
                  <w:hideMark/>
                </w:tcPr>
                <w:p w14:paraId="4A3531D1"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Latitude</w:t>
                  </w:r>
                </w:p>
              </w:tc>
              <w:tc>
                <w:tcPr>
                  <w:tcW w:w="1383" w:type="dxa"/>
                  <w:shd w:val="clear" w:color="000000" w:fill="D9D9D9"/>
                  <w:noWrap/>
                  <w:vAlign w:val="bottom"/>
                  <w:hideMark/>
                </w:tcPr>
                <w:p w14:paraId="75C4F910"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Longitude</w:t>
                  </w:r>
                </w:p>
              </w:tc>
            </w:tr>
            <w:tr w:rsidR="00A056B0" w:rsidRPr="00A424BC" w14:paraId="1D9742BF" w14:textId="77777777" w:rsidTr="00B4457C">
              <w:trPr>
                <w:trHeight w:val="332"/>
              </w:trPr>
              <w:tc>
                <w:tcPr>
                  <w:tcW w:w="4341" w:type="dxa"/>
                  <w:shd w:val="clear" w:color="auto" w:fill="auto"/>
                  <w:noWrap/>
                  <w:vAlign w:val="center"/>
                  <w:hideMark/>
                </w:tcPr>
                <w:p w14:paraId="607A3A7A"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NASSAU AIRPORT, NEW PROVIDENCE</w:t>
                  </w:r>
                </w:p>
              </w:tc>
              <w:tc>
                <w:tcPr>
                  <w:tcW w:w="2209" w:type="dxa"/>
                  <w:shd w:val="clear" w:color="auto" w:fill="auto"/>
                  <w:noWrap/>
                  <w:vAlign w:val="center"/>
                  <w:hideMark/>
                </w:tcPr>
                <w:p w14:paraId="4C2237FB"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Bahamas</w:t>
                  </w:r>
                </w:p>
              </w:tc>
              <w:tc>
                <w:tcPr>
                  <w:tcW w:w="1417" w:type="dxa"/>
                  <w:shd w:val="clear" w:color="auto" w:fill="auto"/>
                  <w:noWrap/>
                  <w:vAlign w:val="center"/>
                  <w:hideMark/>
                </w:tcPr>
                <w:p w14:paraId="57CA73F8"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25.05</w:t>
                  </w:r>
                </w:p>
              </w:tc>
              <w:tc>
                <w:tcPr>
                  <w:tcW w:w="1383" w:type="dxa"/>
                  <w:shd w:val="clear" w:color="auto" w:fill="auto"/>
                  <w:noWrap/>
                  <w:vAlign w:val="center"/>
                  <w:hideMark/>
                </w:tcPr>
                <w:p w14:paraId="0CCFDE7E"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-77.4667</w:t>
                  </w:r>
                </w:p>
              </w:tc>
            </w:tr>
            <w:tr w:rsidR="00A056B0" w:rsidRPr="00A424BC" w14:paraId="1F52F1E7" w14:textId="77777777" w:rsidTr="00B4457C">
              <w:trPr>
                <w:trHeight w:val="332"/>
              </w:trPr>
              <w:tc>
                <w:tcPr>
                  <w:tcW w:w="4341" w:type="dxa"/>
                  <w:shd w:val="clear" w:color="auto" w:fill="auto"/>
                  <w:noWrap/>
                  <w:vAlign w:val="center"/>
                  <w:hideMark/>
                </w:tcPr>
                <w:p w14:paraId="4EE84AFD"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GRANTLEY ADAMS</w:t>
                  </w:r>
                </w:p>
              </w:tc>
              <w:tc>
                <w:tcPr>
                  <w:tcW w:w="2209" w:type="dxa"/>
                  <w:shd w:val="clear" w:color="auto" w:fill="auto"/>
                  <w:noWrap/>
                  <w:vAlign w:val="center"/>
                  <w:hideMark/>
                </w:tcPr>
                <w:p w14:paraId="4091AF31"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Barbados</w:t>
                  </w:r>
                </w:p>
              </w:tc>
              <w:tc>
                <w:tcPr>
                  <w:tcW w:w="1417" w:type="dxa"/>
                  <w:shd w:val="clear" w:color="auto" w:fill="auto"/>
                  <w:noWrap/>
                  <w:vAlign w:val="center"/>
                  <w:hideMark/>
                </w:tcPr>
                <w:p w14:paraId="2FFAB821"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13.0716</w:t>
                  </w:r>
                </w:p>
              </w:tc>
              <w:tc>
                <w:tcPr>
                  <w:tcW w:w="1383" w:type="dxa"/>
                  <w:shd w:val="clear" w:color="auto" w:fill="auto"/>
                  <w:noWrap/>
                  <w:vAlign w:val="center"/>
                  <w:hideMark/>
                </w:tcPr>
                <w:p w14:paraId="40768ED9"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-59.4922</w:t>
                  </w:r>
                </w:p>
              </w:tc>
            </w:tr>
            <w:tr w:rsidR="00A056B0" w:rsidRPr="00A424BC" w14:paraId="4AF71CB4" w14:textId="77777777" w:rsidTr="00B4457C">
              <w:trPr>
                <w:trHeight w:val="332"/>
              </w:trPr>
              <w:tc>
                <w:tcPr>
                  <w:tcW w:w="4341" w:type="dxa"/>
                  <w:shd w:val="clear" w:color="auto" w:fill="auto"/>
                  <w:noWrap/>
                  <w:vAlign w:val="center"/>
                  <w:hideMark/>
                </w:tcPr>
                <w:p w14:paraId="4C16E0F1"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OWEN ROBERTS AIRPORT, GRAND CAYMAN</w:t>
                  </w:r>
                </w:p>
              </w:tc>
              <w:tc>
                <w:tcPr>
                  <w:tcW w:w="2209" w:type="dxa"/>
                  <w:shd w:val="clear" w:color="auto" w:fill="auto"/>
                  <w:noWrap/>
                  <w:vAlign w:val="center"/>
                  <w:hideMark/>
                </w:tcPr>
                <w:p w14:paraId="24C055F8"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Cayman Islands</w:t>
                  </w:r>
                </w:p>
              </w:tc>
              <w:tc>
                <w:tcPr>
                  <w:tcW w:w="1417" w:type="dxa"/>
                  <w:shd w:val="clear" w:color="auto" w:fill="auto"/>
                  <w:noWrap/>
                  <w:vAlign w:val="center"/>
                  <w:hideMark/>
                </w:tcPr>
                <w:p w14:paraId="01AECB76"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19.29435</w:t>
                  </w:r>
                </w:p>
              </w:tc>
              <w:tc>
                <w:tcPr>
                  <w:tcW w:w="1383" w:type="dxa"/>
                  <w:shd w:val="clear" w:color="auto" w:fill="auto"/>
                  <w:noWrap/>
                  <w:vAlign w:val="center"/>
                  <w:hideMark/>
                </w:tcPr>
                <w:p w14:paraId="29C02278"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-81.3632</w:t>
                  </w:r>
                </w:p>
              </w:tc>
            </w:tr>
            <w:tr w:rsidR="00A056B0" w:rsidRPr="00A424BC" w14:paraId="767F526F" w14:textId="77777777" w:rsidTr="00B4457C">
              <w:trPr>
                <w:trHeight w:val="332"/>
              </w:trPr>
              <w:tc>
                <w:tcPr>
                  <w:tcW w:w="4341" w:type="dxa"/>
                  <w:shd w:val="clear" w:color="auto" w:fill="auto"/>
                  <w:noWrap/>
                  <w:vAlign w:val="center"/>
                  <w:hideMark/>
                </w:tcPr>
                <w:p w14:paraId="0514FE56"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MARIEL</w:t>
                  </w:r>
                </w:p>
              </w:tc>
              <w:tc>
                <w:tcPr>
                  <w:tcW w:w="2209" w:type="dxa"/>
                  <w:shd w:val="clear" w:color="auto" w:fill="auto"/>
                  <w:noWrap/>
                  <w:vAlign w:val="center"/>
                  <w:hideMark/>
                </w:tcPr>
                <w:p w14:paraId="116DCDA9"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Cuba</w:t>
                  </w:r>
                </w:p>
              </w:tc>
              <w:tc>
                <w:tcPr>
                  <w:tcW w:w="1417" w:type="dxa"/>
                  <w:shd w:val="clear" w:color="auto" w:fill="auto"/>
                  <w:noWrap/>
                  <w:vAlign w:val="center"/>
                  <w:hideMark/>
                </w:tcPr>
                <w:p w14:paraId="3C778A83"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22.9891</w:t>
                  </w:r>
                </w:p>
              </w:tc>
              <w:tc>
                <w:tcPr>
                  <w:tcW w:w="1383" w:type="dxa"/>
                  <w:shd w:val="clear" w:color="auto" w:fill="auto"/>
                  <w:noWrap/>
                  <w:vAlign w:val="center"/>
                  <w:hideMark/>
                </w:tcPr>
                <w:p w14:paraId="51098D52"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-82.7544</w:t>
                  </w:r>
                </w:p>
              </w:tc>
            </w:tr>
            <w:tr w:rsidR="00A056B0" w:rsidRPr="00A424BC" w14:paraId="7FFE072E" w14:textId="77777777" w:rsidTr="00B4457C">
              <w:trPr>
                <w:trHeight w:val="332"/>
              </w:trPr>
              <w:tc>
                <w:tcPr>
                  <w:tcW w:w="4341" w:type="dxa"/>
                  <w:shd w:val="clear" w:color="auto" w:fill="auto"/>
                  <w:noWrap/>
                  <w:vAlign w:val="center"/>
                  <w:hideMark/>
                </w:tcPr>
                <w:p w14:paraId="0D8A6FC0"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CAMAGUEY</w:t>
                  </w:r>
                </w:p>
              </w:tc>
              <w:tc>
                <w:tcPr>
                  <w:tcW w:w="2209" w:type="dxa"/>
                  <w:shd w:val="clear" w:color="auto" w:fill="auto"/>
                  <w:noWrap/>
                  <w:vAlign w:val="center"/>
                  <w:hideMark/>
                </w:tcPr>
                <w:p w14:paraId="12EDE34F"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Cuba</w:t>
                  </w:r>
                </w:p>
              </w:tc>
              <w:tc>
                <w:tcPr>
                  <w:tcW w:w="1417" w:type="dxa"/>
                  <w:shd w:val="clear" w:color="auto" w:fill="auto"/>
                  <w:noWrap/>
                  <w:vAlign w:val="center"/>
                  <w:hideMark/>
                </w:tcPr>
                <w:p w14:paraId="4B35F6E9"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21.37918</w:t>
                  </w:r>
                </w:p>
              </w:tc>
              <w:tc>
                <w:tcPr>
                  <w:tcW w:w="1383" w:type="dxa"/>
                  <w:shd w:val="clear" w:color="auto" w:fill="auto"/>
                  <w:noWrap/>
                  <w:vAlign w:val="center"/>
                  <w:hideMark/>
                </w:tcPr>
                <w:p w14:paraId="704E1EBC"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-77.9184</w:t>
                  </w:r>
                </w:p>
              </w:tc>
            </w:tr>
            <w:tr w:rsidR="00A056B0" w:rsidRPr="00A424BC" w14:paraId="5323EED6" w14:textId="77777777" w:rsidTr="00B4457C">
              <w:trPr>
                <w:trHeight w:val="332"/>
              </w:trPr>
              <w:tc>
                <w:tcPr>
                  <w:tcW w:w="4341" w:type="dxa"/>
                  <w:shd w:val="clear" w:color="auto" w:fill="auto"/>
                  <w:noWrap/>
                  <w:vAlign w:val="center"/>
                  <w:hideMark/>
                </w:tcPr>
                <w:p w14:paraId="4F667DB3"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HATO AIRPORT, CURA</w:t>
                  </w:r>
                  <w:r w:rsidR="005B62B1" w:rsidRPr="00A424BC">
                    <w:rPr>
                      <w:rFonts w:eastAsia="Times New Roman" w:cs="Calibri"/>
                      <w:color w:val="000000"/>
                    </w:rPr>
                    <w:t>Ç</w:t>
                  </w:r>
                  <w:r w:rsidRPr="00A424BC">
                    <w:rPr>
                      <w:rFonts w:eastAsia="Times New Roman" w:cs="Calibri"/>
                      <w:color w:val="000000"/>
                    </w:rPr>
                    <w:t>AO (78988</w:t>
                  </w:r>
                  <w:r w:rsidR="00775981" w:rsidRPr="00A424BC">
                    <w:rPr>
                      <w:rFonts w:eastAsia="Times New Roman" w:cs="Calibri"/>
                      <w:color w:val="000000"/>
                    </w:rPr>
                    <w:t>–1</w:t>
                  </w:r>
                  <w:r w:rsidRPr="00A424BC">
                    <w:rPr>
                      <w:rFonts w:eastAsia="Times New Roman" w:cs="Calibri"/>
                      <w:color w:val="000000"/>
                    </w:rPr>
                    <w:t>)</w:t>
                  </w:r>
                </w:p>
              </w:tc>
              <w:tc>
                <w:tcPr>
                  <w:tcW w:w="2209" w:type="dxa"/>
                  <w:shd w:val="clear" w:color="auto" w:fill="auto"/>
                  <w:noWrap/>
                  <w:vAlign w:val="center"/>
                  <w:hideMark/>
                </w:tcPr>
                <w:p w14:paraId="29F11DF6"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Curaçao and Saint Maarten</w:t>
                  </w:r>
                </w:p>
              </w:tc>
              <w:tc>
                <w:tcPr>
                  <w:tcW w:w="1417" w:type="dxa"/>
                  <w:shd w:val="clear" w:color="auto" w:fill="auto"/>
                  <w:noWrap/>
                  <w:vAlign w:val="center"/>
                  <w:hideMark/>
                </w:tcPr>
                <w:p w14:paraId="2217295B"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12.2</w:t>
                  </w:r>
                </w:p>
              </w:tc>
              <w:tc>
                <w:tcPr>
                  <w:tcW w:w="1383" w:type="dxa"/>
                  <w:shd w:val="clear" w:color="auto" w:fill="auto"/>
                  <w:noWrap/>
                  <w:vAlign w:val="center"/>
                  <w:hideMark/>
                </w:tcPr>
                <w:p w14:paraId="6D9A4A5E"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-68.9667</w:t>
                  </w:r>
                </w:p>
              </w:tc>
            </w:tr>
            <w:tr w:rsidR="00A056B0" w:rsidRPr="00A424BC" w14:paraId="7C7BC734" w14:textId="77777777" w:rsidTr="00B4457C">
              <w:trPr>
                <w:trHeight w:val="332"/>
              </w:trPr>
              <w:tc>
                <w:tcPr>
                  <w:tcW w:w="4341" w:type="dxa"/>
                  <w:shd w:val="clear" w:color="auto" w:fill="auto"/>
                  <w:noWrap/>
                  <w:vAlign w:val="center"/>
                  <w:hideMark/>
                </w:tcPr>
                <w:p w14:paraId="248E56CB"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SANTO DOMINGO (78486</w:t>
                  </w:r>
                  <w:r w:rsidR="00775981" w:rsidRPr="00A424BC">
                    <w:rPr>
                      <w:rFonts w:eastAsia="Times New Roman" w:cs="Calibri"/>
                      <w:color w:val="000000"/>
                    </w:rPr>
                    <w:t>–0</w:t>
                  </w:r>
                  <w:r w:rsidRPr="00A424BC">
                    <w:rPr>
                      <w:rFonts w:eastAsia="Times New Roman" w:cs="Calibri"/>
                      <w:color w:val="000000"/>
                    </w:rPr>
                    <w:t>)</w:t>
                  </w:r>
                </w:p>
              </w:tc>
              <w:tc>
                <w:tcPr>
                  <w:tcW w:w="2209" w:type="dxa"/>
                  <w:shd w:val="clear" w:color="auto" w:fill="auto"/>
                  <w:noWrap/>
                  <w:vAlign w:val="center"/>
                  <w:hideMark/>
                </w:tcPr>
                <w:p w14:paraId="03A4756D"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Dominican Republic</w:t>
                  </w:r>
                </w:p>
              </w:tc>
              <w:tc>
                <w:tcPr>
                  <w:tcW w:w="1417" w:type="dxa"/>
                  <w:shd w:val="clear" w:color="auto" w:fill="auto"/>
                  <w:noWrap/>
                  <w:vAlign w:val="center"/>
                  <w:hideMark/>
                </w:tcPr>
                <w:p w14:paraId="57399B9B"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18.4734</w:t>
                  </w:r>
                </w:p>
              </w:tc>
              <w:tc>
                <w:tcPr>
                  <w:tcW w:w="1383" w:type="dxa"/>
                  <w:shd w:val="clear" w:color="auto" w:fill="auto"/>
                  <w:noWrap/>
                  <w:vAlign w:val="center"/>
                  <w:hideMark/>
                </w:tcPr>
                <w:p w14:paraId="58136E50"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-69.8705</w:t>
                  </w:r>
                </w:p>
              </w:tc>
            </w:tr>
            <w:tr w:rsidR="00A056B0" w:rsidRPr="00A424BC" w14:paraId="7AB10E5F" w14:textId="77777777" w:rsidTr="00B4457C">
              <w:trPr>
                <w:trHeight w:val="332"/>
              </w:trPr>
              <w:tc>
                <w:tcPr>
                  <w:tcW w:w="4341" w:type="dxa"/>
                  <w:shd w:val="clear" w:color="auto" w:fill="auto"/>
                  <w:noWrap/>
                  <w:vAlign w:val="center"/>
                  <w:hideMark/>
                </w:tcPr>
                <w:p w14:paraId="3396156B"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LE RAIZET AERO</w:t>
                  </w:r>
                  <w:r w:rsidR="007A3438">
                    <w:rPr>
                      <w:rFonts w:eastAsia="Times New Roman" w:cs="Calibri"/>
                      <w:color w:val="000000"/>
                    </w:rPr>
                    <w:t>*</w:t>
                  </w:r>
                </w:p>
              </w:tc>
              <w:tc>
                <w:tcPr>
                  <w:tcW w:w="2209" w:type="dxa"/>
                  <w:shd w:val="clear" w:color="auto" w:fill="auto"/>
                  <w:noWrap/>
                  <w:vAlign w:val="center"/>
                  <w:hideMark/>
                </w:tcPr>
                <w:p w14:paraId="1FC089B5"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France</w:t>
                  </w:r>
                  <w:r w:rsidR="007A3438">
                    <w:rPr>
                      <w:rFonts w:eastAsia="Times New Roman" w:cs="Calibri"/>
                      <w:color w:val="000000"/>
                    </w:rPr>
                    <w:t xml:space="preserve"> </w:t>
                  </w:r>
                  <w:r w:rsidR="007A3438" w:rsidRPr="007A3438">
                    <w:rPr>
                      <w:rFonts w:eastAsia="Times New Roman" w:cs="Calibri"/>
                      <w:color w:val="000000"/>
                    </w:rPr>
                    <w:t>(Guad</w:t>
                  </w:r>
                  <w:r w:rsidR="007A3438">
                    <w:rPr>
                      <w:rFonts w:eastAsia="Times New Roman" w:cs="Calibri"/>
                      <w:color w:val="000000"/>
                    </w:rPr>
                    <w:t>e</w:t>
                  </w:r>
                  <w:r w:rsidR="007A3438" w:rsidRPr="007A3438">
                    <w:rPr>
                      <w:rFonts w:eastAsia="Times New Roman" w:cs="Calibri"/>
                      <w:color w:val="000000"/>
                    </w:rPr>
                    <w:t>loupe)</w:t>
                  </w:r>
                </w:p>
              </w:tc>
              <w:tc>
                <w:tcPr>
                  <w:tcW w:w="1417" w:type="dxa"/>
                  <w:shd w:val="clear" w:color="auto" w:fill="auto"/>
                  <w:noWrap/>
                  <w:vAlign w:val="center"/>
                  <w:hideMark/>
                </w:tcPr>
                <w:p w14:paraId="386FA472"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16.26389</w:t>
                  </w:r>
                </w:p>
              </w:tc>
              <w:tc>
                <w:tcPr>
                  <w:tcW w:w="1383" w:type="dxa"/>
                  <w:shd w:val="clear" w:color="auto" w:fill="auto"/>
                  <w:noWrap/>
                  <w:vAlign w:val="center"/>
                  <w:hideMark/>
                </w:tcPr>
                <w:p w14:paraId="2E046C07"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-61.5164</w:t>
                  </w:r>
                </w:p>
              </w:tc>
            </w:tr>
            <w:tr w:rsidR="00A056B0" w:rsidRPr="00A424BC" w14:paraId="382293AD" w14:textId="77777777" w:rsidTr="00B4457C">
              <w:trPr>
                <w:trHeight w:val="332"/>
              </w:trPr>
              <w:tc>
                <w:tcPr>
                  <w:tcW w:w="4341" w:type="dxa"/>
                  <w:shd w:val="clear" w:color="auto" w:fill="auto"/>
                  <w:noWrap/>
                  <w:vAlign w:val="center"/>
                  <w:hideMark/>
                </w:tcPr>
                <w:p w14:paraId="75815DCD"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KINGSTON/NORMAN MANLEY</w:t>
                  </w:r>
                </w:p>
              </w:tc>
              <w:tc>
                <w:tcPr>
                  <w:tcW w:w="2209" w:type="dxa"/>
                  <w:shd w:val="clear" w:color="auto" w:fill="auto"/>
                  <w:noWrap/>
                  <w:vAlign w:val="center"/>
                  <w:hideMark/>
                </w:tcPr>
                <w:p w14:paraId="7EF87515"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Jamaica</w:t>
                  </w:r>
                </w:p>
              </w:tc>
              <w:tc>
                <w:tcPr>
                  <w:tcW w:w="1417" w:type="dxa"/>
                  <w:shd w:val="clear" w:color="auto" w:fill="auto"/>
                  <w:noWrap/>
                  <w:vAlign w:val="center"/>
                  <w:hideMark/>
                </w:tcPr>
                <w:p w14:paraId="1CB0B153"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17.93333</w:t>
                  </w:r>
                </w:p>
              </w:tc>
              <w:tc>
                <w:tcPr>
                  <w:tcW w:w="1383" w:type="dxa"/>
                  <w:shd w:val="clear" w:color="auto" w:fill="auto"/>
                  <w:noWrap/>
                  <w:vAlign w:val="center"/>
                  <w:hideMark/>
                </w:tcPr>
                <w:p w14:paraId="418F7905"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-76.7833</w:t>
                  </w:r>
                </w:p>
              </w:tc>
            </w:tr>
            <w:tr w:rsidR="00A056B0" w:rsidRPr="00A424BC" w14:paraId="4710F6E7" w14:textId="77777777" w:rsidTr="00B4457C">
              <w:trPr>
                <w:trHeight w:val="332"/>
              </w:trPr>
              <w:tc>
                <w:tcPr>
                  <w:tcW w:w="4341" w:type="dxa"/>
                  <w:shd w:val="clear" w:color="auto" w:fill="auto"/>
                  <w:noWrap/>
                  <w:vAlign w:val="center"/>
                  <w:hideMark/>
                </w:tcPr>
                <w:p w14:paraId="21882C0A" w14:textId="77777777" w:rsidR="004E3192" w:rsidRPr="00A424BC" w:rsidRDefault="004E3192" w:rsidP="00A424BC">
                  <w:pPr>
                    <w:spacing w:before="60" w:after="60"/>
                    <w:jc w:val="left"/>
                    <w:rPr>
                      <w:rFonts w:eastAsia="Times New Roman" w:cs="Calibri"/>
                      <w:color w:val="000000"/>
                      <w:lang w:val="es-AR"/>
                    </w:rPr>
                  </w:pPr>
                  <w:r w:rsidRPr="00A424BC">
                    <w:rPr>
                      <w:rFonts w:eastAsia="Times New Roman" w:cs="Calibri"/>
                      <w:color w:val="000000"/>
                      <w:lang w:val="es-AR"/>
                    </w:rPr>
                    <w:t>SAN JUAN/INT., PUERTO RICO</w:t>
                  </w:r>
                </w:p>
              </w:tc>
              <w:tc>
                <w:tcPr>
                  <w:tcW w:w="2209" w:type="dxa"/>
                  <w:shd w:val="clear" w:color="auto" w:fill="auto"/>
                  <w:noWrap/>
                  <w:vAlign w:val="center"/>
                  <w:hideMark/>
                </w:tcPr>
                <w:p w14:paraId="000E4D75"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United States</w:t>
                  </w:r>
                </w:p>
              </w:tc>
              <w:tc>
                <w:tcPr>
                  <w:tcW w:w="1417" w:type="dxa"/>
                  <w:shd w:val="clear" w:color="auto" w:fill="auto"/>
                  <w:noWrap/>
                  <w:vAlign w:val="center"/>
                  <w:hideMark/>
                </w:tcPr>
                <w:p w14:paraId="3FBE4278"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18.43167</w:t>
                  </w:r>
                </w:p>
              </w:tc>
              <w:tc>
                <w:tcPr>
                  <w:tcW w:w="1383" w:type="dxa"/>
                  <w:shd w:val="clear" w:color="auto" w:fill="auto"/>
                  <w:noWrap/>
                  <w:vAlign w:val="center"/>
                  <w:hideMark/>
                </w:tcPr>
                <w:p w14:paraId="0108BB95"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-65.9919</w:t>
                  </w:r>
                </w:p>
              </w:tc>
            </w:tr>
            <w:tr w:rsidR="00A056B0" w:rsidRPr="00A424BC" w14:paraId="0C45E4EF" w14:textId="77777777" w:rsidTr="00B4457C">
              <w:trPr>
                <w:trHeight w:val="332"/>
              </w:trPr>
              <w:tc>
                <w:tcPr>
                  <w:tcW w:w="4341" w:type="dxa"/>
                  <w:shd w:val="clear" w:color="auto" w:fill="auto"/>
                  <w:noWrap/>
                  <w:vAlign w:val="center"/>
                  <w:hideMark/>
                </w:tcPr>
                <w:p w14:paraId="70DCE976"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JULIANA AIRPORT, ST. MAARTEN</w:t>
                  </w:r>
                </w:p>
              </w:tc>
              <w:tc>
                <w:tcPr>
                  <w:tcW w:w="2209" w:type="dxa"/>
                  <w:shd w:val="clear" w:color="auto" w:fill="auto"/>
                  <w:noWrap/>
                  <w:vAlign w:val="center"/>
                  <w:hideMark/>
                </w:tcPr>
                <w:p w14:paraId="65F54E99"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Curaçao and Saint Maarten</w:t>
                  </w:r>
                </w:p>
              </w:tc>
              <w:tc>
                <w:tcPr>
                  <w:tcW w:w="1417" w:type="dxa"/>
                  <w:shd w:val="clear" w:color="auto" w:fill="auto"/>
                  <w:noWrap/>
                  <w:vAlign w:val="center"/>
                  <w:hideMark/>
                </w:tcPr>
                <w:p w14:paraId="0ED531CE"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18.03852</w:t>
                  </w:r>
                </w:p>
              </w:tc>
              <w:tc>
                <w:tcPr>
                  <w:tcW w:w="1383" w:type="dxa"/>
                  <w:shd w:val="clear" w:color="auto" w:fill="auto"/>
                  <w:noWrap/>
                  <w:vAlign w:val="center"/>
                  <w:hideMark/>
                </w:tcPr>
                <w:p w14:paraId="23E466BB"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-63.1192</w:t>
                  </w:r>
                </w:p>
              </w:tc>
            </w:tr>
            <w:tr w:rsidR="00A056B0" w:rsidRPr="00A424BC" w14:paraId="066E1065" w14:textId="77777777" w:rsidTr="00B4457C">
              <w:trPr>
                <w:trHeight w:val="332"/>
              </w:trPr>
              <w:tc>
                <w:tcPr>
                  <w:tcW w:w="4341" w:type="dxa"/>
                  <w:shd w:val="clear" w:color="auto" w:fill="auto"/>
                  <w:noWrap/>
                  <w:vAlign w:val="center"/>
                  <w:hideMark/>
                </w:tcPr>
                <w:p w14:paraId="706C65DC"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PIARCO INT. AIRPORT, TRINIDAD</w:t>
                  </w:r>
                </w:p>
              </w:tc>
              <w:tc>
                <w:tcPr>
                  <w:tcW w:w="2209" w:type="dxa"/>
                  <w:shd w:val="clear" w:color="auto" w:fill="auto"/>
                  <w:noWrap/>
                  <w:vAlign w:val="center"/>
                  <w:hideMark/>
                </w:tcPr>
                <w:p w14:paraId="098C9C3D"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Trinidad and Tobago</w:t>
                  </w:r>
                </w:p>
              </w:tc>
              <w:tc>
                <w:tcPr>
                  <w:tcW w:w="1417" w:type="dxa"/>
                  <w:shd w:val="clear" w:color="auto" w:fill="auto"/>
                  <w:noWrap/>
                  <w:vAlign w:val="center"/>
                  <w:hideMark/>
                </w:tcPr>
                <w:p w14:paraId="7252989D"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10.59168</w:t>
                  </w:r>
                </w:p>
              </w:tc>
              <w:tc>
                <w:tcPr>
                  <w:tcW w:w="1383" w:type="dxa"/>
                  <w:shd w:val="clear" w:color="auto" w:fill="auto"/>
                  <w:noWrap/>
                  <w:vAlign w:val="center"/>
                  <w:hideMark/>
                </w:tcPr>
                <w:p w14:paraId="65B5B1AC"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-61.3432</w:t>
                  </w:r>
                </w:p>
              </w:tc>
            </w:tr>
            <w:tr w:rsidR="00A056B0" w:rsidRPr="00A424BC" w14:paraId="47C5EF0F" w14:textId="77777777" w:rsidTr="003471D8">
              <w:trPr>
                <w:trHeight w:val="332"/>
              </w:trPr>
              <w:tc>
                <w:tcPr>
                  <w:tcW w:w="4341" w:type="dxa"/>
                  <w:tcBorders>
                    <w:bottom w:val="dotted" w:sz="4" w:space="0" w:color="auto"/>
                  </w:tcBorders>
                  <w:shd w:val="clear" w:color="auto" w:fill="auto"/>
                  <w:noWrap/>
                  <w:vAlign w:val="center"/>
                  <w:hideMark/>
                </w:tcPr>
                <w:p w14:paraId="47779E4D"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TIMEHRI AIRPORT</w:t>
                  </w:r>
                </w:p>
              </w:tc>
              <w:tc>
                <w:tcPr>
                  <w:tcW w:w="2209" w:type="dxa"/>
                  <w:tcBorders>
                    <w:bottom w:val="dotted" w:sz="4" w:space="0" w:color="auto"/>
                  </w:tcBorders>
                  <w:shd w:val="clear" w:color="auto" w:fill="auto"/>
                  <w:noWrap/>
                  <w:vAlign w:val="center"/>
                  <w:hideMark/>
                </w:tcPr>
                <w:p w14:paraId="5300BEDF"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Guyana</w:t>
                  </w:r>
                </w:p>
              </w:tc>
              <w:tc>
                <w:tcPr>
                  <w:tcW w:w="1417" w:type="dxa"/>
                  <w:tcBorders>
                    <w:bottom w:val="dotted" w:sz="4" w:space="0" w:color="auto"/>
                  </w:tcBorders>
                  <w:shd w:val="clear" w:color="auto" w:fill="auto"/>
                  <w:noWrap/>
                  <w:vAlign w:val="center"/>
                  <w:hideMark/>
                </w:tcPr>
                <w:p w14:paraId="5EA7551D"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6.49835</w:t>
                  </w:r>
                </w:p>
              </w:tc>
              <w:tc>
                <w:tcPr>
                  <w:tcW w:w="1383" w:type="dxa"/>
                  <w:tcBorders>
                    <w:bottom w:val="dotted" w:sz="4" w:space="0" w:color="auto"/>
                  </w:tcBorders>
                  <w:shd w:val="clear" w:color="auto" w:fill="auto"/>
                  <w:noWrap/>
                  <w:vAlign w:val="center"/>
                  <w:hideMark/>
                </w:tcPr>
                <w:p w14:paraId="54792D26" w14:textId="77777777" w:rsidR="004E3192" w:rsidRPr="00A424BC" w:rsidRDefault="004E3192" w:rsidP="00A424BC">
                  <w:pPr>
                    <w:spacing w:before="60" w:after="60"/>
                    <w:jc w:val="left"/>
                    <w:rPr>
                      <w:rFonts w:eastAsia="Times New Roman" w:cs="Calibri"/>
                      <w:color w:val="000000"/>
                    </w:rPr>
                  </w:pPr>
                  <w:r w:rsidRPr="00A424BC">
                    <w:rPr>
                      <w:rFonts w:eastAsia="Times New Roman" w:cs="Calibri"/>
                      <w:color w:val="000000"/>
                    </w:rPr>
                    <w:t>-58.2542</w:t>
                  </w:r>
                </w:p>
              </w:tc>
            </w:tr>
            <w:tr w:rsidR="00B45FC1" w:rsidRPr="00B45FC1" w14:paraId="402901A0" w14:textId="77777777" w:rsidTr="00B4457C">
              <w:trPr>
                <w:trHeight w:val="332"/>
              </w:trPr>
              <w:tc>
                <w:tcPr>
                  <w:tcW w:w="4341" w:type="dxa"/>
                  <w:shd w:val="clear" w:color="auto" w:fill="auto"/>
                  <w:noWrap/>
                  <w:vAlign w:val="center"/>
                </w:tcPr>
                <w:p w14:paraId="0F70EDA4" w14:textId="77777777" w:rsidR="00B45FC1" w:rsidRPr="00534A60" w:rsidRDefault="00B45FC1" w:rsidP="00A424BC">
                  <w:pPr>
                    <w:spacing w:before="60" w:after="60"/>
                    <w:jc w:val="left"/>
                    <w:rPr>
                      <w:rFonts w:eastAsia="Times New Roman" w:cs="Calibri"/>
                      <w:color w:val="000000"/>
                    </w:rPr>
                  </w:pPr>
                  <w:r w:rsidRPr="00534A60">
                    <w:rPr>
                      <w:rFonts w:eastAsia="Times New Roman" w:cs="Calibri"/>
                      <w:color w:val="000000"/>
                    </w:rPr>
                    <w:t>PORT-AU-PRINCE [Haiti]</w:t>
                  </w:r>
                </w:p>
              </w:tc>
              <w:tc>
                <w:tcPr>
                  <w:tcW w:w="2209" w:type="dxa"/>
                  <w:shd w:val="clear" w:color="auto" w:fill="auto"/>
                  <w:noWrap/>
                  <w:vAlign w:val="center"/>
                </w:tcPr>
                <w:p w14:paraId="7A596239" w14:textId="77777777" w:rsidR="00B45FC1" w:rsidRPr="00534A60" w:rsidRDefault="00B45FC1" w:rsidP="00A424BC">
                  <w:pPr>
                    <w:spacing w:before="60" w:after="60"/>
                    <w:jc w:val="left"/>
                    <w:rPr>
                      <w:rFonts w:eastAsia="Times New Roman" w:cs="Calibri"/>
                      <w:color w:val="000000"/>
                    </w:rPr>
                  </w:pPr>
                  <w:r w:rsidRPr="00534A60">
                    <w:rPr>
                      <w:rFonts w:eastAsia="Times New Roman" w:cs="Calibri"/>
                      <w:color w:val="000000"/>
                    </w:rPr>
                    <w:t>Haiti</w:t>
                  </w:r>
                </w:p>
              </w:tc>
              <w:tc>
                <w:tcPr>
                  <w:tcW w:w="1417" w:type="dxa"/>
                  <w:shd w:val="clear" w:color="auto" w:fill="auto"/>
                  <w:noWrap/>
                  <w:vAlign w:val="center"/>
                </w:tcPr>
                <w:p w14:paraId="521A2702" w14:textId="77777777" w:rsidR="00B45FC1" w:rsidRPr="00534A60" w:rsidRDefault="00B45FC1" w:rsidP="00A424BC">
                  <w:pPr>
                    <w:spacing w:before="60" w:after="60"/>
                    <w:jc w:val="left"/>
                    <w:rPr>
                      <w:rFonts w:eastAsia="Times New Roman" w:cs="Calibri"/>
                      <w:color w:val="000000"/>
                    </w:rPr>
                  </w:pPr>
                  <w:r w:rsidRPr="00534A60">
                    <w:rPr>
                      <w:rFonts w:eastAsia="Times New Roman" w:cs="Calibri"/>
                      <w:color w:val="000000"/>
                    </w:rPr>
                    <w:t>18.5666 </w:t>
                  </w:r>
                </w:p>
              </w:tc>
              <w:tc>
                <w:tcPr>
                  <w:tcW w:w="1383" w:type="dxa"/>
                  <w:shd w:val="clear" w:color="auto" w:fill="auto"/>
                  <w:noWrap/>
                  <w:vAlign w:val="center"/>
                </w:tcPr>
                <w:p w14:paraId="50574CC5" w14:textId="77777777" w:rsidR="00B45FC1" w:rsidRPr="00534A60" w:rsidRDefault="00B45FC1" w:rsidP="00A424BC">
                  <w:pPr>
                    <w:spacing w:before="60" w:after="60"/>
                    <w:jc w:val="left"/>
                    <w:rPr>
                      <w:rFonts w:eastAsia="Times New Roman" w:cs="Calibri"/>
                      <w:color w:val="000000"/>
                    </w:rPr>
                  </w:pPr>
                  <w:r w:rsidRPr="00534A60">
                    <w:rPr>
                      <w:rFonts w:eastAsia="Times New Roman" w:cs="Calibri"/>
                      <w:color w:val="000000"/>
                    </w:rPr>
                    <w:t>-72.3000 </w:t>
                  </w:r>
                </w:p>
              </w:tc>
            </w:tr>
            <w:tr w:rsidR="007A3438" w:rsidRPr="00B45FC1" w14:paraId="1FECACB1" w14:textId="77777777" w:rsidTr="00B4457C">
              <w:trPr>
                <w:trHeight w:val="332"/>
              </w:trPr>
              <w:tc>
                <w:tcPr>
                  <w:tcW w:w="4341" w:type="dxa"/>
                  <w:shd w:val="clear" w:color="auto" w:fill="auto"/>
                  <w:noWrap/>
                  <w:vAlign w:val="center"/>
                </w:tcPr>
                <w:p w14:paraId="00302BB9" w14:textId="77777777" w:rsidR="007A3438" w:rsidRPr="00534A60" w:rsidRDefault="007A3438" w:rsidP="00A424BC">
                  <w:pPr>
                    <w:spacing w:before="60" w:after="60"/>
                    <w:jc w:val="left"/>
                    <w:rPr>
                      <w:rFonts w:eastAsia="Times New Roman" w:cs="Calibri"/>
                      <w:color w:val="000000"/>
                    </w:rPr>
                  </w:pPr>
                  <w:r w:rsidRPr="007A3438">
                    <w:rPr>
                      <w:rFonts w:eastAsia="Times New Roman" w:cs="Calibri"/>
                      <w:color w:val="000000"/>
                    </w:rPr>
                    <w:t>S</w:t>
                  </w:r>
                  <w:r>
                    <w:rPr>
                      <w:rFonts w:eastAsia="Times New Roman" w:cs="Calibri"/>
                      <w:color w:val="000000"/>
                    </w:rPr>
                    <w:t>AN</w:t>
                  </w:r>
                  <w:r w:rsidRPr="007A3438">
                    <w:rPr>
                      <w:rFonts w:eastAsia="Times New Roman" w:cs="Calibri"/>
                      <w:color w:val="000000"/>
                    </w:rPr>
                    <w:t xml:space="preserve"> A</w:t>
                  </w:r>
                  <w:r>
                    <w:rPr>
                      <w:rFonts w:eastAsia="Times New Roman" w:cs="Calibri"/>
                      <w:color w:val="000000"/>
                    </w:rPr>
                    <w:t>NDRES</w:t>
                  </w:r>
                  <w:r w:rsidRPr="007A3438">
                    <w:rPr>
                      <w:rFonts w:eastAsia="Times New Roman" w:cs="Calibri"/>
                      <w:color w:val="000000"/>
                    </w:rPr>
                    <w:t xml:space="preserve"> [</w:t>
                  </w:r>
                  <w:r w:rsidRPr="007044F1">
                    <w:rPr>
                      <w:rFonts w:eastAsia="Times New Roman" w:cs="Calibri"/>
                      <w:i/>
                      <w:iCs/>
                      <w:color w:val="000000"/>
                    </w:rPr>
                    <w:t>Colombia</w:t>
                  </w:r>
                  <w:r w:rsidRPr="007A3438">
                    <w:rPr>
                      <w:rFonts w:eastAsia="Times New Roman" w:cs="Calibri"/>
                      <w:color w:val="000000"/>
                    </w:rPr>
                    <w:t>]</w:t>
                  </w:r>
                </w:p>
              </w:tc>
              <w:tc>
                <w:tcPr>
                  <w:tcW w:w="2209" w:type="dxa"/>
                  <w:shd w:val="clear" w:color="auto" w:fill="auto"/>
                  <w:noWrap/>
                  <w:vAlign w:val="center"/>
                </w:tcPr>
                <w:p w14:paraId="530A0E74" w14:textId="77777777" w:rsidR="007A3438" w:rsidRPr="00534A60" w:rsidRDefault="007A3438" w:rsidP="00A424BC">
                  <w:pPr>
                    <w:spacing w:before="60" w:after="60"/>
                    <w:jc w:val="left"/>
                    <w:rPr>
                      <w:rFonts w:eastAsia="Times New Roman" w:cs="Calibri"/>
                      <w:color w:val="000000"/>
                    </w:rPr>
                  </w:pPr>
                  <w:r>
                    <w:rPr>
                      <w:rFonts w:eastAsia="Times New Roman" w:cs="Calibri"/>
                      <w:color w:val="000000"/>
                    </w:rPr>
                    <w:t>Colombia</w:t>
                  </w:r>
                </w:p>
              </w:tc>
              <w:tc>
                <w:tcPr>
                  <w:tcW w:w="1417" w:type="dxa"/>
                  <w:shd w:val="clear" w:color="auto" w:fill="auto"/>
                  <w:noWrap/>
                  <w:vAlign w:val="center"/>
                </w:tcPr>
                <w:p w14:paraId="43D96576" w14:textId="77777777" w:rsidR="007A3438" w:rsidRPr="00534A60" w:rsidRDefault="007A3438" w:rsidP="00A424BC">
                  <w:pPr>
                    <w:spacing w:before="60" w:after="60"/>
                    <w:jc w:val="left"/>
                    <w:rPr>
                      <w:rFonts w:eastAsia="Times New Roman" w:cs="Calibri"/>
                      <w:color w:val="000000"/>
                    </w:rPr>
                  </w:pPr>
                  <w:r w:rsidRPr="001D2F8A">
                    <w:rPr>
                      <w:rFonts w:eastAsia="Times New Roman" w:cs="Calibri"/>
                      <w:color w:val="000000"/>
                    </w:rPr>
                    <w:t>12.5883</w:t>
                  </w:r>
                </w:p>
              </w:tc>
              <w:tc>
                <w:tcPr>
                  <w:tcW w:w="1383" w:type="dxa"/>
                  <w:shd w:val="clear" w:color="auto" w:fill="auto"/>
                  <w:noWrap/>
                  <w:vAlign w:val="center"/>
                </w:tcPr>
                <w:p w14:paraId="0616489F" w14:textId="77777777" w:rsidR="007A3438" w:rsidRPr="00534A60" w:rsidRDefault="007A3438" w:rsidP="00A424BC">
                  <w:pPr>
                    <w:spacing w:before="60" w:after="60"/>
                    <w:jc w:val="left"/>
                    <w:rPr>
                      <w:rFonts w:eastAsia="Times New Roman" w:cs="Calibri"/>
                      <w:color w:val="000000"/>
                    </w:rPr>
                  </w:pPr>
                  <w:r w:rsidRPr="001D2F8A">
                    <w:rPr>
                      <w:rFonts w:eastAsia="Times New Roman" w:cs="Calibri"/>
                      <w:color w:val="000000"/>
                    </w:rPr>
                    <w:t>-81.701</w:t>
                  </w:r>
                  <w:r>
                    <w:rPr>
                      <w:rFonts w:eastAsia="Times New Roman" w:cs="Calibri"/>
                      <w:color w:val="000000"/>
                    </w:rPr>
                    <w:t>0</w:t>
                  </w:r>
                </w:p>
              </w:tc>
            </w:tr>
          </w:tbl>
          <w:p w14:paraId="55A9CD3A" w14:textId="77777777" w:rsidR="004E3192" w:rsidRPr="00B45FC1" w:rsidRDefault="004E3192" w:rsidP="009132F5">
            <w:pPr>
              <w:rPr>
                <w:rFonts w:asciiTheme="minorBidi" w:hAnsiTheme="minorBidi"/>
              </w:rPr>
            </w:pPr>
          </w:p>
        </w:tc>
      </w:tr>
    </w:tbl>
    <w:p w14:paraId="39D8A8E6" w14:textId="77777777" w:rsidR="007A3438" w:rsidRPr="007A3438" w:rsidRDefault="007A3438" w:rsidP="00982DF3">
      <w:pPr>
        <w:pStyle w:val="WMOBodyText"/>
        <w:spacing w:before="360"/>
      </w:pPr>
      <w:r w:rsidRPr="007A3438">
        <w:t xml:space="preserve">* Taking into account relevant exemption from meeting GBON requirements </w:t>
      </w:r>
      <w:r w:rsidR="00B90C49">
        <w:t xml:space="preserve">as </w:t>
      </w:r>
      <w:r w:rsidRPr="007A3438">
        <w:t>per Article 9 of WMO convention [</w:t>
      </w:r>
      <w:r w:rsidRPr="007044F1">
        <w:rPr>
          <w:i/>
          <w:iCs/>
        </w:rPr>
        <w:t>France</w:t>
      </w:r>
      <w:r w:rsidRPr="007A3438">
        <w:t>]</w:t>
      </w:r>
    </w:p>
    <w:p w14:paraId="47D4501A" w14:textId="77777777" w:rsidR="004E3192" w:rsidRPr="003A2EDE" w:rsidRDefault="004E3192" w:rsidP="00982DF3">
      <w:pPr>
        <w:pStyle w:val="WMOBodyText"/>
        <w:spacing w:before="360"/>
      </w:pPr>
      <w:r w:rsidRPr="003A2EDE">
        <w:rPr>
          <w:b/>
          <w:bCs/>
        </w:rPr>
        <w:t xml:space="preserve">Further decides </w:t>
      </w:r>
      <w:r w:rsidRPr="003A2EDE">
        <w:t xml:space="preserve">that this regional design will be regularly reviewed </w:t>
      </w:r>
      <w:r w:rsidR="00B90C49" w:rsidRPr="00B90C49">
        <w:t>every four years [</w:t>
      </w:r>
      <w:r w:rsidR="00B90C49" w:rsidRPr="007044F1">
        <w:rPr>
          <w:i/>
          <w:iCs/>
        </w:rPr>
        <w:t>Antigua and Barbuda</w:t>
      </w:r>
      <w:r w:rsidR="00B90C49" w:rsidRPr="00B90C49">
        <w:t>] or earlier [</w:t>
      </w:r>
      <w:r w:rsidR="00B90C49" w:rsidRPr="007044F1">
        <w:rPr>
          <w:i/>
          <w:iCs/>
        </w:rPr>
        <w:t>BCT</w:t>
      </w:r>
      <w:r w:rsidR="00B90C49" w:rsidRPr="00B90C49">
        <w:t>]</w:t>
      </w:r>
      <w:r w:rsidR="00B90C49">
        <w:t xml:space="preserve"> </w:t>
      </w:r>
      <w:r w:rsidRPr="003A2EDE">
        <w:t>as required</w:t>
      </w:r>
      <w:r w:rsidR="009C17BF" w:rsidRPr="003A2EDE">
        <w:t>,</w:t>
      </w:r>
      <w:r w:rsidRPr="003A2EDE">
        <w:t xml:space="preserve"> </w:t>
      </w:r>
      <w:r w:rsidR="009C17BF" w:rsidRPr="003A2EDE">
        <w:t xml:space="preserve">at subsequent </w:t>
      </w:r>
      <w:r w:rsidRPr="003A2EDE">
        <w:t>sessions of Regional Association IV</w:t>
      </w:r>
      <w:r w:rsidR="00A965DA">
        <w:t>;</w:t>
      </w:r>
    </w:p>
    <w:p w14:paraId="3711D967" w14:textId="77777777" w:rsidR="004E3192" w:rsidRPr="003A2EDE" w:rsidRDefault="004E3192" w:rsidP="004E3192">
      <w:pPr>
        <w:pStyle w:val="WMOBodyText"/>
        <w:rPr>
          <w:b/>
          <w:bCs/>
        </w:rPr>
      </w:pPr>
      <w:r w:rsidRPr="003A2EDE">
        <w:rPr>
          <w:rFonts w:eastAsia="Times New Roman" w:cs="Times New Roman"/>
          <w:b/>
          <w:bCs/>
        </w:rPr>
        <w:t>Requests</w:t>
      </w:r>
      <w:r w:rsidRPr="003A2EDE">
        <w:rPr>
          <w:rFonts w:eastAsia="Times New Roman" w:cs="Times New Roman"/>
        </w:rPr>
        <w:t xml:space="preserve"> the RA IV Infrastructure Committee to consider additional </w:t>
      </w:r>
      <w:r w:rsidR="00D873EB" w:rsidRPr="003A2EDE">
        <w:rPr>
          <w:rFonts w:eastAsia="Times New Roman" w:cs="Times New Roman"/>
        </w:rPr>
        <w:t xml:space="preserve">GBON </w:t>
      </w:r>
      <w:r w:rsidRPr="003A2EDE">
        <w:rPr>
          <w:rFonts w:eastAsia="Times New Roman" w:cs="Times New Roman"/>
        </w:rPr>
        <w:t>subregional designs as appropriate</w:t>
      </w:r>
      <w:r w:rsidR="00A965DA">
        <w:rPr>
          <w:rFonts w:eastAsia="Times New Roman" w:cs="Times New Roman"/>
        </w:rPr>
        <w:t>;</w:t>
      </w:r>
    </w:p>
    <w:p w14:paraId="42CE03BC" w14:textId="77777777" w:rsidR="0019699A" w:rsidRPr="003A2EDE" w:rsidRDefault="0019699A" w:rsidP="0019699A">
      <w:pPr>
        <w:pStyle w:val="WMOBodyText"/>
      </w:pPr>
      <w:r w:rsidRPr="003A2EDE">
        <w:rPr>
          <w:b/>
          <w:bCs/>
        </w:rPr>
        <w:t>Recommends</w:t>
      </w:r>
      <w:r w:rsidRPr="003A2EDE">
        <w:t xml:space="preserve"> that the Executive Council:</w:t>
      </w:r>
    </w:p>
    <w:p w14:paraId="7472096D" w14:textId="77777777" w:rsidR="0019699A" w:rsidRPr="003A2EDE" w:rsidRDefault="0019699A" w:rsidP="0019699A">
      <w:pPr>
        <w:pStyle w:val="WMOIndent1"/>
      </w:pPr>
      <w:r w:rsidRPr="003A2EDE">
        <w:t>(1)</w:t>
      </w:r>
      <w:r w:rsidRPr="003A2EDE">
        <w:tab/>
        <w:t>Request the Commission for Observation, Infrastructure, and Information Systems (INFCOM) to reflect this decision in its GBON compliance monitoring</w:t>
      </w:r>
      <w:r w:rsidR="001B6036">
        <w:t>;</w:t>
      </w:r>
    </w:p>
    <w:p w14:paraId="55E09B66" w14:textId="77777777" w:rsidR="0019699A" w:rsidRPr="003A2EDE" w:rsidRDefault="0019699A" w:rsidP="0019699A">
      <w:pPr>
        <w:pStyle w:val="WMOIndent1"/>
        <w:rPr>
          <w:b/>
          <w:bCs/>
        </w:rPr>
      </w:pPr>
      <w:r w:rsidRPr="003A2EDE">
        <w:t>(2)</w:t>
      </w:r>
      <w:r w:rsidRPr="003A2EDE">
        <w:tab/>
        <w:t xml:space="preserve">Requests the Secretary-General, who also serves as </w:t>
      </w:r>
      <w:r w:rsidR="00982DF3" w:rsidRPr="003A2EDE">
        <w:t>Co-Ch</w:t>
      </w:r>
      <w:r w:rsidRPr="003A2EDE">
        <w:t xml:space="preserve">air of the Systematic Observations Financing Facility (SOFF) Steering Committee, to communicate this decision </w:t>
      </w:r>
      <w:r w:rsidRPr="003A2EDE">
        <w:lastRenderedPageBreak/>
        <w:t>to the SOFF Steering Committee and encourage its rapid implementation through investments in eligible RA IV members</w:t>
      </w:r>
      <w:r w:rsidR="001B6036">
        <w:t>.</w:t>
      </w:r>
    </w:p>
    <w:p w14:paraId="24B67B30" w14:textId="77777777" w:rsidR="0037222D" w:rsidRPr="003A2EDE" w:rsidRDefault="0037222D" w:rsidP="0037222D">
      <w:pPr>
        <w:pStyle w:val="WMOBodyText"/>
      </w:pPr>
      <w:r w:rsidRPr="003A2EDE">
        <w:t xml:space="preserve">See </w:t>
      </w:r>
      <w:hyperlink r:id="rId17" w:history="1">
        <w:r w:rsidR="002C3CB2" w:rsidRPr="007637AF">
          <w:rPr>
            <w:rStyle w:val="Hyperlink"/>
          </w:rPr>
          <w:t>RA IV-19(I)/</w:t>
        </w:r>
        <w:r w:rsidRPr="007637AF">
          <w:rPr>
            <w:rStyle w:val="Hyperlink"/>
          </w:rPr>
          <w:t xml:space="preserve">INF. </w:t>
        </w:r>
        <w:r w:rsidR="002C3CB2" w:rsidRPr="007637AF">
          <w:rPr>
            <w:rStyle w:val="Hyperlink"/>
          </w:rPr>
          <w:t>3.1</w:t>
        </w:r>
      </w:hyperlink>
      <w:r w:rsidRPr="003A2EDE">
        <w:rPr>
          <w:rStyle w:val="Hyperlink"/>
        </w:rPr>
        <w:t xml:space="preserve"> </w:t>
      </w:r>
      <w:r w:rsidRPr="003A2EDE">
        <w:t>for more information.</w:t>
      </w:r>
    </w:p>
    <w:p w14:paraId="07A09FD5" w14:textId="77777777" w:rsidR="0037222D" w:rsidRPr="003A2EDE" w:rsidRDefault="0037222D" w:rsidP="007044F1">
      <w:pPr>
        <w:pStyle w:val="WMOBodyText"/>
        <w:keepNext/>
        <w:keepLines/>
      </w:pPr>
      <w:r w:rsidRPr="003A2EDE">
        <w:t>_______</w:t>
      </w:r>
    </w:p>
    <w:p w14:paraId="3820551E" w14:textId="77777777" w:rsidR="00A17D25" w:rsidRPr="003A2EDE" w:rsidRDefault="0037222D" w:rsidP="007044F1">
      <w:pPr>
        <w:pStyle w:val="WMOBodyText"/>
        <w:keepNext/>
        <w:keepLines/>
      </w:pPr>
      <w:r w:rsidRPr="003A2EDE">
        <w:t>Decision justification:</w:t>
      </w:r>
      <w:r w:rsidRPr="003A2EDE">
        <w:tab/>
      </w:r>
      <w:hyperlink r:id="rId18" w:anchor="page=42" w:history="1">
        <w:r w:rsidR="003A247F" w:rsidRPr="003A2EDE">
          <w:rPr>
            <w:rStyle w:val="Hyperlink"/>
          </w:rPr>
          <w:t>Decision</w:t>
        </w:r>
        <w:r w:rsidR="005B62B1">
          <w:rPr>
            <w:rStyle w:val="Hyperlink"/>
          </w:rPr>
          <w:t> 8</w:t>
        </w:r>
        <w:r w:rsidR="003A247F" w:rsidRPr="003A2EDE">
          <w:rPr>
            <w:rStyle w:val="Hyperlink"/>
          </w:rPr>
          <w:t xml:space="preserve"> (RA IV-18)</w:t>
        </w:r>
      </w:hyperlink>
      <w:r w:rsidR="003A247F" w:rsidRPr="003A2EDE">
        <w:t xml:space="preserve"> – Regional Basic Observing Network design</w:t>
      </w:r>
      <w:r w:rsidR="00A17D25" w:rsidRPr="003A2EDE">
        <w:t xml:space="preserve">, related to </w:t>
      </w:r>
      <w:bdo w:val="ltr">
        <w:r w:rsidR="00A17D25" w:rsidRPr="003A2EDE">
          <w:t xml:space="preserve">the foundation of the Regional Basic Observing Network </w:t>
        </w:r>
        <w:bdo w:val="ltr">
          <w:r w:rsidR="00A17D25" w:rsidRPr="003A2EDE">
            <w:t xml:space="preserve">(RBON) from observing stations of the previous Regional Basic Synoptic </w:t>
          </w:r>
          <w:bdo w:val="ltr">
            <w:r w:rsidR="00A17D25" w:rsidRPr="003A2EDE">
              <w:t xml:space="preserve">(RBSN) and Regional Basic Climatological </w:t>
            </w:r>
            <w:bdo w:val="ltr">
              <w:r w:rsidR="00A17D25" w:rsidRPr="003A2EDE">
                <w:t>(RBCN) networks, as well as G</w:t>
              </w:r>
              <w:r w:rsidR="00617BF5">
                <w:t>BON</w:t>
              </w:r>
              <w:r w:rsidR="003A247F" w:rsidRPr="003A2EDE">
                <w:t>.</w:t>
              </w:r>
              <w:r w:rsidR="00513322" w:rsidRPr="003A2EDE">
                <w:t>‬</w:t>
              </w:r>
              <w:r w:rsidR="00513322" w:rsidRPr="003A2EDE">
                <w:t>‬</w:t>
              </w:r>
              <w:r w:rsidR="00513322" w:rsidRPr="003A2EDE">
                <w:t>‬</w:t>
              </w:r>
              <w:r w:rsidR="00513322" w:rsidRPr="003A2EDE">
                <w:t>‬</w:t>
              </w:r>
              <w:r w:rsidR="00513322" w:rsidRPr="003A2EDE">
                <w:t>‬</w:t>
              </w:r>
              <w:r>
                <w:t>‬</w:t>
              </w:r>
              <w:r>
                <w:t>‬</w:t>
              </w:r>
              <w:r>
                <w:t>‬</w:t>
              </w:r>
              <w:r>
                <w:t>‬</w:t>
              </w:r>
              <w:r>
                <w:t>‬</w:t>
              </w:r>
              <w:r w:rsidR="008F3ECD">
                <w:t>‬</w:t>
              </w:r>
              <w:r w:rsidR="008F3ECD">
                <w:t>‬</w:t>
              </w:r>
              <w:r w:rsidR="008F3ECD">
                <w:t>‬</w:t>
              </w:r>
              <w:r w:rsidR="008F3ECD">
                <w:t>‬</w:t>
              </w:r>
              <w:r w:rsidR="008F3ECD">
                <w:t>‬</w:t>
              </w:r>
              <w:r w:rsidR="002B251C">
                <w:t>‬</w:t>
              </w:r>
              <w:r w:rsidR="002B251C">
                <w:t>‬</w:t>
              </w:r>
              <w:r w:rsidR="002B251C">
                <w:t>‬</w:t>
              </w:r>
              <w:r w:rsidR="002B251C">
                <w:t>‬</w:t>
              </w:r>
              <w:r w:rsidR="002B251C">
                <w:t>‬</w:t>
              </w:r>
              <w:r>
                <w:t>‬</w:t>
              </w:r>
              <w:r>
                <w:t>‬</w:t>
              </w:r>
              <w:r>
                <w:t>‬</w:t>
              </w:r>
              <w:r>
                <w:t>‬</w:t>
              </w:r>
              <w:r>
                <w:t>‬</w:t>
              </w:r>
              <w:r w:rsidR="00A32BE4">
                <w:t>‬</w:t>
              </w:r>
              <w:r w:rsidR="00A32BE4">
                <w:t>‬</w:t>
              </w:r>
              <w:r w:rsidR="00A32BE4">
                <w:t>‬</w:t>
              </w:r>
              <w:r w:rsidR="00A32BE4">
                <w:t>‬</w:t>
              </w:r>
              <w:r>
                <w:t>‬</w:t>
              </w:r>
              <w:r>
                <w:t>‬</w:t>
              </w:r>
              <w:r>
                <w:t>‬</w:t>
              </w:r>
              <w:r>
                <w:t>‬</w:t>
              </w:r>
              <w:r w:rsidR="00EF782A">
                <w:t>‬</w:t>
              </w:r>
              <w:r w:rsidR="00EF782A">
                <w:t>‬</w:t>
              </w:r>
              <w:r w:rsidR="00EF782A">
                <w:t>‬</w:t>
              </w:r>
              <w:r w:rsidR="00EF782A">
                <w:t>‬</w:t>
              </w:r>
              <w:r w:rsidR="00EF782A">
                <w:t>‬</w:t>
              </w:r>
              <w:r w:rsidR="00EF782A">
                <w:t>‬</w:t>
              </w:r>
              <w:r w:rsidR="00EF782A">
                <w:t>‬</w:t>
              </w:r>
              <w:r w:rsidR="00EF782A">
                <w:t>‬</w:t>
              </w:r>
              <w:r w:rsidR="00EF782A">
                <w:t>‬</w:t>
              </w:r>
              <w:r w:rsidR="00EF782A">
                <w:t>‬</w:t>
              </w:r>
              <w:r w:rsidR="00EF782A">
                <w:t>‬</w:t>
              </w:r>
              <w:r w:rsidR="00EF782A">
                <w:t>‬</w:t>
              </w:r>
              <w:r w:rsidR="00B45FC1">
                <w:t>‬</w:t>
              </w:r>
              <w:r w:rsidR="00B45FC1">
                <w:t>‬</w:t>
              </w:r>
              <w:r w:rsidR="00B45FC1">
                <w:t>‬</w:t>
              </w:r>
              <w:r w:rsidR="00B45FC1">
                <w:t>‬</w:t>
              </w:r>
              <w:r>
                <w:t>‬</w:t>
              </w:r>
              <w:r>
                <w:t>‬</w:t>
              </w:r>
              <w:r>
                <w:t>‬</w:t>
              </w:r>
              <w:r>
                <w:t>‬</w:t>
              </w:r>
              <w:r w:rsidR="00A72B11">
                <w:t>‬</w:t>
              </w:r>
              <w:r w:rsidR="00A72B11">
                <w:t>‬</w:t>
              </w:r>
              <w:r w:rsidR="00A72B11">
                <w:t>‬</w:t>
              </w:r>
              <w:r w:rsidR="00A72B11">
                <w:t>‬</w:t>
              </w:r>
              <w:r w:rsidR="00A72B11">
                <w:t>‬</w:t>
              </w:r>
              <w:r w:rsidR="00A72B11">
                <w:t>‬</w:t>
              </w:r>
              <w:r w:rsidR="00A72B11">
                <w:t>‬</w:t>
              </w:r>
              <w:r w:rsidR="00A72B11">
                <w:t>‬</w:t>
              </w:r>
              <w:r w:rsidR="00083835">
                <w:t>‬</w:t>
              </w:r>
              <w:r w:rsidR="00083835">
                <w:t>‬</w:t>
              </w:r>
              <w:r w:rsidR="00083835">
                <w:t>‬</w:t>
              </w:r>
              <w:r w:rsidR="00083835">
                <w:t>‬</w:t>
              </w:r>
              <w:r>
                <w:t>‬</w:t>
              </w:r>
              <w:r>
                <w:t>‬</w:t>
              </w:r>
              <w:r>
                <w:t>‬</w:t>
              </w:r>
              <w:r>
                <w:t>‬</w:t>
              </w:r>
              <w:r w:rsidR="00C372DF">
                <w:t>‬</w:t>
              </w:r>
              <w:r w:rsidR="00C372DF">
                <w:t>‬</w:t>
              </w:r>
              <w:r w:rsidR="00C372DF">
                <w:t>‬</w:t>
              </w:r>
              <w:r w:rsidR="00C372DF">
                <w:t>‬</w:t>
              </w:r>
              <w:r w:rsidR="002A0D28">
                <w:t>‬</w:t>
              </w:r>
              <w:r w:rsidR="002A0D28">
                <w:t>‬</w:t>
              </w:r>
              <w:r w:rsidR="002A0D28">
                <w:t>‬</w:t>
              </w:r>
              <w:r w:rsidR="002A0D28">
                <w:t>‬</w:t>
              </w:r>
              <w:r>
                <w:t>‬</w:t>
              </w:r>
              <w:r>
                <w:t>‬</w:t>
              </w:r>
              <w:r>
                <w:t>‬</w:t>
              </w:r>
              <w:r>
                <w:t>‬</w:t>
              </w:r>
              <w:r w:rsidR="007C53F5">
                <w:t>‬</w:t>
              </w:r>
              <w:r w:rsidR="007C53F5">
                <w:t>‬</w:t>
              </w:r>
              <w:r w:rsidR="007C53F5">
                <w:t>‬</w:t>
              </w:r>
              <w:r w:rsidR="007C53F5">
                <w:t>‬</w:t>
              </w:r>
              <w:r w:rsidR="00AB1565">
                <w:t>‬</w:t>
              </w:r>
              <w:r w:rsidR="00AB1565">
                <w:t>‬</w:t>
              </w:r>
              <w:r w:rsidR="00AB1565">
                <w:t>‬</w:t>
              </w:r>
              <w:r w:rsidR="00AB1565">
                <w:t>‬</w:t>
              </w:r>
              <w:r w:rsidR="00176070">
                <w:t>‬</w:t>
              </w:r>
              <w:r w:rsidR="00176070">
                <w:t>‬</w:t>
              </w:r>
              <w:r w:rsidR="00176070">
                <w:t>‬</w:t>
              </w:r>
              <w:r w:rsidR="00176070">
                <w:t>‬</w:t>
              </w:r>
              <w:r w:rsidR="00000000">
                <w:t>‬</w:t>
              </w:r>
              <w:r w:rsidR="00000000">
                <w:t>‬</w:t>
              </w:r>
              <w:r w:rsidR="00000000">
                <w:t>‬</w:t>
              </w:r>
              <w:r w:rsidR="00000000">
                <w:t>‬</w:t>
              </w:r>
            </w:bdo>
          </w:bdo>
        </w:bdo>
      </w:bdo>
    </w:p>
    <w:p w14:paraId="4B6E3637" w14:textId="77777777" w:rsidR="00A47C2D" w:rsidRPr="003A2EDE" w:rsidRDefault="0037222D" w:rsidP="003A247F">
      <w:pPr>
        <w:pStyle w:val="WMOBodyText"/>
        <w:jc w:val="center"/>
      </w:pPr>
      <w:r w:rsidRPr="003A2EDE">
        <w:t>__________</w:t>
      </w:r>
      <w:bookmarkStart w:id="1" w:name="_Annex_to_Draft_2"/>
      <w:bookmarkStart w:id="2" w:name="_Annex_to_Draft"/>
      <w:bookmarkEnd w:id="1"/>
      <w:bookmarkEnd w:id="2"/>
    </w:p>
    <w:p w14:paraId="5E22BF69" w14:textId="77777777" w:rsidR="00A47C2D" w:rsidRPr="003A2EDE" w:rsidRDefault="00A47C2D">
      <w:pPr>
        <w:tabs>
          <w:tab w:val="clear" w:pos="1134"/>
        </w:tabs>
        <w:jc w:val="left"/>
        <w:rPr>
          <w:rFonts w:eastAsia="Verdana" w:cs="Verdana"/>
          <w:lang w:eastAsia="zh-TW"/>
        </w:rPr>
      </w:pPr>
      <w:r w:rsidRPr="003A2EDE">
        <w:br w:type="page"/>
      </w:r>
    </w:p>
    <w:p w14:paraId="7615FA67" w14:textId="77777777" w:rsidR="00A47C2D" w:rsidRPr="006C4CD5" w:rsidRDefault="00A47C2D" w:rsidP="006C4CD5">
      <w:pPr>
        <w:pStyle w:val="Heading2"/>
      </w:pPr>
      <w:r w:rsidRPr="003A2EDE">
        <w:lastRenderedPageBreak/>
        <w:t>Draft Decision</w:t>
      </w:r>
      <w:r w:rsidR="005B62B1">
        <w:t> 3</w:t>
      </w:r>
      <w:r w:rsidRPr="003A2EDE">
        <w:t>.1/2 (RA IV-19(I))</w:t>
      </w:r>
    </w:p>
    <w:p w14:paraId="44344AC3" w14:textId="77777777" w:rsidR="00EE062E" w:rsidRPr="006C4CD5" w:rsidRDefault="00734062" w:rsidP="006C4CD5">
      <w:pPr>
        <w:pStyle w:val="Heading3"/>
        <w:rPr>
          <w:sz w:val="22"/>
          <w:szCs w:val="22"/>
        </w:rPr>
      </w:pPr>
      <w:r w:rsidRPr="006C4CD5">
        <w:rPr>
          <w:sz w:val="22"/>
          <w:szCs w:val="22"/>
        </w:rPr>
        <w:t xml:space="preserve">General regional </w:t>
      </w:r>
      <w:r w:rsidR="002339F4" w:rsidRPr="006C4CD5">
        <w:rPr>
          <w:sz w:val="22"/>
          <w:szCs w:val="22"/>
        </w:rPr>
        <w:t xml:space="preserve">infrastructure </w:t>
      </w:r>
      <w:r w:rsidRPr="006C4CD5">
        <w:rPr>
          <w:sz w:val="22"/>
          <w:szCs w:val="22"/>
        </w:rPr>
        <w:t>requirements for 2024</w:t>
      </w:r>
      <w:r w:rsidR="00775981" w:rsidRPr="006C4CD5">
        <w:rPr>
          <w:sz w:val="22"/>
          <w:szCs w:val="22"/>
        </w:rPr>
        <w:t>–2</w:t>
      </w:r>
      <w:r w:rsidRPr="006C4CD5">
        <w:rPr>
          <w:sz w:val="22"/>
          <w:szCs w:val="22"/>
        </w:rPr>
        <w:t>027</w:t>
      </w:r>
    </w:p>
    <w:p w14:paraId="2524F2BC" w14:textId="77777777" w:rsidR="00734062" w:rsidRPr="003A2EDE" w:rsidRDefault="00734062" w:rsidP="00734062">
      <w:pPr>
        <w:pStyle w:val="WMOBodyText"/>
        <w:rPr>
          <w:b/>
          <w:bCs/>
        </w:rPr>
      </w:pPr>
      <w:r w:rsidRPr="003A2EDE">
        <w:rPr>
          <w:b/>
          <w:bCs/>
        </w:rPr>
        <w:t>Regional Association IV (North America, Central America and the Caribbean):</w:t>
      </w:r>
    </w:p>
    <w:p w14:paraId="1580CC40" w14:textId="77777777" w:rsidR="00734062" w:rsidRPr="003A2EDE" w:rsidRDefault="00734062" w:rsidP="00734062">
      <w:pPr>
        <w:pStyle w:val="WMOBodyText"/>
      </w:pPr>
      <w:r w:rsidRPr="003A2EDE">
        <w:rPr>
          <w:b/>
          <w:bCs/>
        </w:rPr>
        <w:t>Recalling</w:t>
      </w:r>
      <w:r w:rsidR="002339F4" w:rsidRPr="003A2EDE">
        <w:t xml:space="preserve"> </w:t>
      </w:r>
      <w:hyperlink r:id="rId19" w:anchor="page=47" w:history="1">
        <w:r w:rsidR="002339F4" w:rsidRPr="003A2EDE">
          <w:rPr>
            <w:rStyle w:val="Hyperlink"/>
          </w:rPr>
          <w:t xml:space="preserve">Decision </w:t>
        </w:r>
        <w:bdo w:val="ltr">
          <w:r w:rsidR="002339F4" w:rsidRPr="003A2EDE">
            <w:rPr>
              <w:rStyle w:val="Hyperlink"/>
            </w:rPr>
            <w:t xml:space="preserve">12 </w:t>
          </w:r>
          <w:bdo w:val="ltr">
            <w:r w:rsidR="002339F4" w:rsidRPr="003A2EDE">
              <w:rPr>
                <w:rStyle w:val="Hyperlink"/>
              </w:rPr>
              <w:t>(RA IV-18)</w:t>
            </w:r>
            <w:r>
              <w:t>‬</w:t>
            </w:r>
            <w:r>
              <w:t>‬</w:t>
            </w:r>
            <w:r w:rsidR="008F3ECD">
              <w:t>‬</w:t>
            </w:r>
            <w:r w:rsidR="008F3ECD">
              <w:t>‬</w:t>
            </w:r>
            <w:r w:rsidR="002B251C">
              <w:t>‬</w:t>
            </w:r>
            <w:r w:rsidR="002B251C">
              <w:t>‬</w:t>
            </w:r>
            <w:r>
              <w:t>‬</w:t>
            </w:r>
            <w:r>
              <w:t>‬</w:t>
            </w:r>
            <w:r w:rsidR="00A32BE4">
              <w:t>‬</w:t>
            </w:r>
            <w:r w:rsidR="00A32BE4">
              <w:t>‬</w:t>
            </w:r>
            <w:r>
              <w:t>‬</w:t>
            </w:r>
            <w:r>
              <w:t>‬</w:t>
            </w:r>
            <w:r w:rsidR="00EF782A">
              <w:t>‬</w:t>
            </w:r>
            <w:r w:rsidR="00EF782A">
              <w:t>‬</w:t>
            </w:r>
            <w:r w:rsidR="00EF782A">
              <w:t>‬</w:t>
            </w:r>
            <w:r w:rsidR="00EF782A">
              <w:t>‬</w:t>
            </w:r>
            <w:r w:rsidR="00EF782A">
              <w:t>‬</w:t>
            </w:r>
            <w:r w:rsidR="00EF782A">
              <w:t>‬</w:t>
            </w:r>
            <w:r w:rsidR="00B45FC1">
              <w:t>‬</w:t>
            </w:r>
            <w:r w:rsidR="00B45FC1">
              <w:t>‬</w:t>
            </w:r>
            <w:r>
              <w:t>‬</w:t>
            </w:r>
            <w:r>
              <w:t>‬</w:t>
            </w:r>
            <w:r w:rsidR="00A72B11">
              <w:t>‬</w:t>
            </w:r>
            <w:r w:rsidR="00A72B11">
              <w:t>‬</w:t>
            </w:r>
            <w:r w:rsidR="00A72B11">
              <w:t>‬</w:t>
            </w:r>
            <w:r w:rsidR="00A72B11">
              <w:t>‬</w:t>
            </w:r>
            <w:r w:rsidR="00083835">
              <w:t>‬</w:t>
            </w:r>
            <w:r w:rsidR="00083835">
              <w:t>‬</w:t>
            </w:r>
            <w:r>
              <w:t>‬</w:t>
            </w:r>
            <w:r>
              <w:t>‬</w:t>
            </w:r>
            <w:r w:rsidR="00C372DF">
              <w:t>‬</w:t>
            </w:r>
            <w:r w:rsidR="00C372DF">
              <w:t>‬</w:t>
            </w:r>
            <w:r w:rsidR="002A0D28">
              <w:t>‬</w:t>
            </w:r>
            <w:r w:rsidR="002A0D28">
              <w:t>‬</w:t>
            </w:r>
            <w:r>
              <w:t>‬</w:t>
            </w:r>
            <w:r>
              <w:t>‬</w:t>
            </w:r>
            <w:r w:rsidR="007C53F5">
              <w:t>‬</w:t>
            </w:r>
            <w:r w:rsidR="007C53F5">
              <w:t>‬</w:t>
            </w:r>
            <w:r w:rsidR="00AB1565">
              <w:t>‬</w:t>
            </w:r>
            <w:r w:rsidR="00AB1565">
              <w:t>‬</w:t>
            </w:r>
            <w:r w:rsidR="00176070">
              <w:t>‬</w:t>
            </w:r>
            <w:r w:rsidR="00176070">
              <w:t>‬</w:t>
            </w:r>
            <w:r w:rsidR="00000000">
              <w:t>‬</w:t>
            </w:r>
            <w:r w:rsidR="00000000">
              <w:t>‬</w:t>
            </w:r>
          </w:bdo>
        </w:bdo>
      </w:hyperlink>
      <w:r w:rsidR="002339F4" w:rsidRPr="003A2EDE">
        <w:t xml:space="preserve"> – </w:t>
      </w:r>
      <w:r w:rsidR="00564893" w:rsidRPr="003A2EDE">
        <w:t xml:space="preserve">Regional priorities </w:t>
      </w:r>
      <w:bdo w:val="ltr">
        <w:r w:rsidR="00564893" w:rsidRPr="003A2EDE">
          <w:t>2024–2027, more specifically th</w:t>
        </w:r>
        <w:r w:rsidR="000552AB" w:rsidRPr="003A2EDE">
          <w:t>ose</w:t>
        </w:r>
        <w:r w:rsidR="00564893" w:rsidRPr="003A2EDE">
          <w:t xml:space="preserve"> priorities under </w:t>
        </w:r>
        <w:r w:rsidR="00776341">
          <w:t xml:space="preserve">the WMO </w:t>
        </w:r>
        <w:r w:rsidR="00564893" w:rsidRPr="003A2EDE">
          <w:t>Long-term Goal 2 (Enhance Earth system observations and predictions: Strengthening the technical foundation for the future),</w:t>
        </w:r>
        <w:r>
          <w:t>‬</w:t>
        </w:r>
        <w:r w:rsidR="008F3ECD">
          <w:t>‬</w:t>
        </w:r>
        <w:r w:rsidR="002B251C">
          <w:t>‬</w:t>
        </w:r>
        <w:r>
          <w:t>‬</w:t>
        </w:r>
        <w:r w:rsidR="00A32BE4">
          <w:t>‬</w:t>
        </w:r>
        <w:r>
          <w:t>‬</w:t>
        </w:r>
        <w:r w:rsidR="00EF782A">
          <w:t>‬</w:t>
        </w:r>
        <w:r w:rsidR="00EF782A">
          <w:t>‬</w:t>
        </w:r>
        <w:r w:rsidR="00EF782A">
          <w:t>‬</w:t>
        </w:r>
        <w:r w:rsidR="00B45FC1">
          <w:t>‬</w:t>
        </w:r>
        <w:r>
          <w:t>‬</w:t>
        </w:r>
        <w:r w:rsidR="00A72B11">
          <w:t>‬</w:t>
        </w:r>
        <w:r w:rsidR="00A72B11">
          <w:t>‬</w:t>
        </w:r>
        <w:r w:rsidR="00083835">
          <w:t>‬</w:t>
        </w:r>
        <w:r>
          <w:t>‬</w:t>
        </w:r>
        <w:r w:rsidR="00C372DF">
          <w:t>‬</w:t>
        </w:r>
        <w:r w:rsidR="002A0D28">
          <w:t>‬</w:t>
        </w:r>
        <w:r>
          <w:t>‬</w:t>
        </w:r>
        <w:r w:rsidR="007C53F5">
          <w:t>‬</w:t>
        </w:r>
        <w:r w:rsidR="00AB1565">
          <w:t>‬</w:t>
        </w:r>
        <w:r w:rsidR="00176070">
          <w:t>‬</w:t>
        </w:r>
        <w:r w:rsidR="00000000">
          <w:t>‬</w:t>
        </w:r>
      </w:bdo>
    </w:p>
    <w:p w14:paraId="09285E56" w14:textId="77777777" w:rsidR="00564893" w:rsidRPr="003A2EDE" w:rsidRDefault="00564893" w:rsidP="000552AB">
      <w:pPr>
        <w:pStyle w:val="WMOBodyText"/>
      </w:pPr>
      <w:r w:rsidRPr="003A2EDE">
        <w:rPr>
          <w:b/>
          <w:bCs/>
        </w:rPr>
        <w:t>Decides</w:t>
      </w:r>
      <w:r w:rsidR="000552AB" w:rsidRPr="003A2EDE">
        <w:t xml:space="preserve"> to keep </w:t>
      </w:r>
      <w:r w:rsidR="0080742E" w:rsidRPr="003A2EDE">
        <w:t>up to date,</w:t>
      </w:r>
      <w:r w:rsidR="000552AB" w:rsidRPr="003A2EDE">
        <w:t xml:space="preserve"> modify</w:t>
      </w:r>
      <w:r w:rsidR="008F3ECD">
        <w:t>ing</w:t>
      </w:r>
      <w:r w:rsidR="000552AB" w:rsidRPr="003A2EDE">
        <w:t xml:space="preserve"> as required, the RA IV regional work p</w:t>
      </w:r>
      <w:r w:rsidR="00513322">
        <w:t>rogramme</w:t>
      </w:r>
      <w:r w:rsidR="000552AB" w:rsidRPr="003A2EDE">
        <w:t xml:space="preserve"> 2024</w:t>
      </w:r>
      <w:r w:rsidR="00775981">
        <w:t>–2</w:t>
      </w:r>
      <w:r w:rsidR="000552AB" w:rsidRPr="003A2EDE">
        <w:t>027</w:t>
      </w:r>
      <w:r w:rsidR="00513322">
        <w:t xml:space="preserve"> </w:t>
      </w:r>
      <w:r w:rsidR="008F3ECD">
        <w:t xml:space="preserve">provided in </w:t>
      </w:r>
      <w:hyperlink r:id="rId20" w:history="1">
        <w:r w:rsidR="008F3ECD" w:rsidRPr="00A84E44">
          <w:rPr>
            <w:rStyle w:val="Hyperlink"/>
          </w:rPr>
          <w:t>draft Resolution</w:t>
        </w:r>
        <w:r w:rsidR="00775981">
          <w:rPr>
            <w:rStyle w:val="Hyperlink"/>
          </w:rPr>
          <w:t> 4</w:t>
        </w:r>
        <w:r w:rsidR="008F3ECD" w:rsidRPr="00A84E44">
          <w:rPr>
            <w:rStyle w:val="Hyperlink"/>
          </w:rPr>
          <w:t>.3/1 (RA IV-19(I))</w:t>
        </w:r>
      </w:hyperlink>
      <w:r w:rsidR="000552AB" w:rsidRPr="00FC62FB">
        <w:t>,</w:t>
      </w:r>
      <w:r w:rsidR="000552AB" w:rsidRPr="003A2EDE">
        <w:t xml:space="preserve"> so that the following general regional infrastructure requirements can be met:</w:t>
      </w:r>
    </w:p>
    <w:p w14:paraId="6CB7CDB9" w14:textId="77777777" w:rsidR="000552AB" w:rsidRPr="003A2EDE" w:rsidRDefault="000552AB" w:rsidP="000552AB">
      <w:pPr>
        <w:pStyle w:val="WMOIndent1"/>
      </w:pPr>
      <w:r w:rsidRPr="003A2EDE">
        <w:t>(1)</w:t>
      </w:r>
      <w:r w:rsidRPr="003A2EDE">
        <w:tab/>
      </w:r>
      <w:r w:rsidR="0080742E" w:rsidRPr="003A2EDE">
        <w:t>E</w:t>
      </w:r>
      <w:r w:rsidRPr="003A2EDE">
        <w:t>xpansion and strengthening of the pilot phase operations of the RA IV Regional WIGOS Centres (RWCs) through 2025 and advance the operational phase in 2026, while urging Members to actively engage with RWCs, via their National Focal Points on WDQMS</w:t>
      </w:r>
      <w:r w:rsidR="008225D8">
        <w:t>;</w:t>
      </w:r>
    </w:p>
    <w:p w14:paraId="625C3328" w14:textId="77777777" w:rsidR="000552AB" w:rsidRPr="003A2EDE" w:rsidRDefault="000552AB" w:rsidP="000552AB">
      <w:pPr>
        <w:pStyle w:val="WMOIndent1"/>
      </w:pPr>
      <w:r w:rsidRPr="003A2EDE">
        <w:t>(2)</w:t>
      </w:r>
      <w:r w:rsidRPr="003A2EDE">
        <w:tab/>
      </w:r>
      <w:r w:rsidR="0080742E" w:rsidRPr="003A2EDE">
        <w:t>E</w:t>
      </w:r>
      <w:r w:rsidRPr="003A2EDE">
        <w:t>xpansion in the implementation of WIS 2.0</w:t>
      </w:r>
      <w:r w:rsidR="00D85E28">
        <w:t>, with special focus in</w:t>
      </w:r>
      <w:r w:rsidRPr="003A2EDE">
        <w:t xml:space="preserve"> RA IV Spanish-speaking members</w:t>
      </w:r>
      <w:r w:rsidR="001944E6">
        <w:t>;</w:t>
      </w:r>
    </w:p>
    <w:p w14:paraId="0623769A" w14:textId="77777777" w:rsidR="000552AB" w:rsidRPr="003A2EDE" w:rsidRDefault="000552AB" w:rsidP="000552AB">
      <w:pPr>
        <w:pStyle w:val="WMOIndent1"/>
      </w:pPr>
      <w:r w:rsidRPr="003A2EDE">
        <w:t>(3)</w:t>
      </w:r>
      <w:r w:rsidRPr="003A2EDE">
        <w:tab/>
      </w:r>
      <w:r w:rsidR="0080742E" w:rsidRPr="003A2EDE">
        <w:t>D</w:t>
      </w:r>
      <w:r w:rsidRPr="003A2EDE">
        <w:t xml:space="preserve">esignation of </w:t>
      </w:r>
      <w:r w:rsidR="00D85E28">
        <w:t>a</w:t>
      </w:r>
      <w:r w:rsidR="00D85E28" w:rsidRPr="00D85E28">
        <w:t xml:space="preserve"> </w:t>
      </w:r>
      <w:r w:rsidR="00D85E28">
        <w:t xml:space="preserve">new </w:t>
      </w:r>
      <w:r w:rsidR="003532A2" w:rsidRPr="003532A2">
        <w:rPr>
          <w:spacing w:val="6"/>
        </w:rPr>
        <w:t>WMO Integrated Processing and Prediction System</w:t>
      </w:r>
      <w:r w:rsidR="003532A2" w:rsidRPr="003532A2">
        <w:rPr>
          <w:rFonts w:ascii="Roboto" w:hAnsi="Roboto"/>
          <w:spacing w:val="6"/>
          <w:sz w:val="21"/>
          <w:szCs w:val="21"/>
        </w:rPr>
        <w:t xml:space="preserve"> </w:t>
      </w:r>
      <w:r w:rsidR="003532A2">
        <w:rPr>
          <w:rFonts w:ascii="Roboto" w:hAnsi="Roboto"/>
          <w:spacing w:val="6"/>
          <w:sz w:val="21"/>
          <w:szCs w:val="21"/>
        </w:rPr>
        <w:t>(</w:t>
      </w:r>
      <w:r w:rsidR="00D85E28" w:rsidRPr="00D85E28">
        <w:t>WIPPS</w:t>
      </w:r>
      <w:r w:rsidR="003532A2">
        <w:t>)</w:t>
      </w:r>
      <w:r w:rsidR="00D85E28" w:rsidRPr="00D85E28">
        <w:t xml:space="preserve"> Regional Specialized Meteorological Centre (RSMC) initially focused, but not limited to, on </w:t>
      </w:r>
      <w:r w:rsidR="00D85E28">
        <w:t xml:space="preserve">the </w:t>
      </w:r>
      <w:r w:rsidR="00D85E28" w:rsidRPr="00D85E28">
        <w:t>strengthening</w:t>
      </w:r>
      <w:r w:rsidR="00D85E28">
        <w:t xml:space="preserve"> of</w:t>
      </w:r>
      <w:r w:rsidR="00D85E28" w:rsidRPr="00D85E28">
        <w:t xml:space="preserve"> Limited Area Deterministic Numerical Weather Prediction capabilities, building on the experience of the Severe Weather Forecasting Programme cascade process in the </w:t>
      </w:r>
      <w:r w:rsidR="003532A2">
        <w:t>e</w:t>
      </w:r>
      <w:r w:rsidR="00D85E28" w:rsidRPr="00D85E28">
        <w:t>astern Caribbean and Central America</w:t>
      </w:r>
      <w:r w:rsidR="001944E6">
        <w:t>;</w:t>
      </w:r>
    </w:p>
    <w:p w14:paraId="1989A918" w14:textId="77777777" w:rsidR="000552AB" w:rsidRPr="003A2EDE" w:rsidRDefault="000552AB" w:rsidP="000552AB">
      <w:pPr>
        <w:pStyle w:val="WMOIndent1"/>
      </w:pPr>
      <w:r w:rsidRPr="003A2EDE">
        <w:t>(4)</w:t>
      </w:r>
      <w:r w:rsidRPr="003A2EDE">
        <w:tab/>
      </w:r>
      <w:r w:rsidR="00D85E28" w:rsidRPr="00D85E28">
        <w:t xml:space="preserve">Undertaking the necessary activities towards the RBON implementation </w:t>
      </w:r>
      <w:r w:rsidR="00D85E28">
        <w:t>road</w:t>
      </w:r>
      <w:r w:rsidR="005B62B1">
        <w:t xml:space="preserve"> map</w:t>
      </w:r>
      <w:r w:rsidR="00D85E28">
        <w:t xml:space="preserve"> </w:t>
      </w:r>
      <w:r w:rsidR="00D85E28" w:rsidRPr="00D85E28">
        <w:t xml:space="preserve">according to the Action plan in </w:t>
      </w:r>
      <w:hyperlink r:id="rId21" w:history="1">
        <w:r w:rsidR="00D85E28" w:rsidRPr="005B62B1">
          <w:rPr>
            <w:rStyle w:val="Hyperlink"/>
          </w:rPr>
          <w:t>Resolution</w:t>
        </w:r>
        <w:r w:rsidR="00775981" w:rsidRPr="005B62B1">
          <w:rPr>
            <w:rStyle w:val="Hyperlink"/>
          </w:rPr>
          <w:t> 2</w:t>
        </w:r>
        <w:r w:rsidR="00D85E28" w:rsidRPr="005B62B1">
          <w:rPr>
            <w:rStyle w:val="Hyperlink"/>
          </w:rPr>
          <w:t xml:space="preserve"> (EC-78)</w:t>
        </w:r>
      </w:hyperlink>
      <w:r w:rsidR="00E75923">
        <w:t xml:space="preserve"> -</w:t>
      </w:r>
      <w:r w:rsidR="00D85E28" w:rsidRPr="00D85E28">
        <w:t xml:space="preserve"> Priority Activities contributing to the Early Warnings for All initiative, in collaboration with the INFCOM/SC-ON Expert Team on Earth Observing System Design and Evolution (ET-EOSDE)</w:t>
      </w:r>
      <w:r w:rsidR="001944E6">
        <w:t>;</w:t>
      </w:r>
    </w:p>
    <w:p w14:paraId="5128CB92" w14:textId="77777777" w:rsidR="000552AB" w:rsidRDefault="000552AB" w:rsidP="000552AB">
      <w:pPr>
        <w:pStyle w:val="WMOIndent1"/>
      </w:pPr>
      <w:r w:rsidRPr="003A2EDE">
        <w:t>(5)</w:t>
      </w:r>
      <w:r w:rsidRPr="003A2EDE">
        <w:tab/>
      </w:r>
      <w:r w:rsidR="0080742E" w:rsidRPr="003A2EDE">
        <w:t>D</w:t>
      </w:r>
      <w:r w:rsidRPr="003A2EDE">
        <w:t>evelopment and strengthening of Members</w:t>
      </w:r>
      <w:r w:rsidR="00513322">
        <w:t>’</w:t>
      </w:r>
      <w:r w:rsidRPr="003A2EDE">
        <w:t xml:space="preserve"> hydrological monitoring capacities, focusing on improving the availability of hydrological data, through the implementation of World Hydrological Cycle Observing System (WHYCOS), HydroHub, WMO Hydrological Observing System (WHOS) and HydroSOS (infrastructure component)</w:t>
      </w:r>
      <w:r w:rsidR="001944E6">
        <w:t>;</w:t>
      </w:r>
    </w:p>
    <w:p w14:paraId="25166F51" w14:textId="77777777" w:rsidR="00FC6BFE" w:rsidRPr="003A2EDE" w:rsidRDefault="00FC6BFE" w:rsidP="000552AB">
      <w:pPr>
        <w:pStyle w:val="WMOIndent1"/>
      </w:pPr>
      <w:r>
        <w:t>(6)</w:t>
      </w:r>
      <w:r>
        <w:tab/>
      </w:r>
      <w:r w:rsidRPr="00FC6BFE">
        <w:t>Registration of hydrological stations in the Observing Systems Capability Analysis and Review/Surface (OSCAR/Surface) and the implementation of WHOS for hydrological data exchange and interoperability in collaboration with regional and basin organizations</w:t>
      </w:r>
      <w:r w:rsidR="00E75923">
        <w:t>;</w:t>
      </w:r>
    </w:p>
    <w:p w14:paraId="68B930A5" w14:textId="77777777" w:rsidR="000552AB" w:rsidRPr="003A2EDE" w:rsidRDefault="000552AB" w:rsidP="000552AB">
      <w:pPr>
        <w:pStyle w:val="WMOIndent1"/>
      </w:pPr>
      <w:r w:rsidRPr="003A2EDE">
        <w:t>(</w:t>
      </w:r>
      <w:r w:rsidR="00FC6BFE">
        <w:t>7</w:t>
      </w:r>
      <w:r w:rsidRPr="003A2EDE">
        <w:t>)</w:t>
      </w:r>
      <w:r w:rsidRPr="003A2EDE">
        <w:tab/>
      </w:r>
      <w:r w:rsidR="0080742E" w:rsidRPr="003A2EDE">
        <w:t xml:space="preserve">Preparation of a </w:t>
      </w:r>
      <w:r w:rsidRPr="003A2EDE">
        <w:t>propos</w:t>
      </w:r>
      <w:r w:rsidR="0080742E" w:rsidRPr="003A2EDE">
        <w:t>al for</w:t>
      </w:r>
      <w:r w:rsidRPr="003A2EDE">
        <w:t xml:space="preserve"> the configuration of a regional ocean observing system for the Caribbean based on current efforts and focusing primarily on improving operational forecasts and early warnings, in consultation with the Infrastructure Commission (INFCOM) Standing Committee on Earth Observing Systems and Monitoring Networks (SC-ON), the Services Commission (SERCOM) Standing Committee on Marine Meteorological and Oceanographic Services (SC</w:t>
      </w:r>
      <w:r w:rsidRPr="003A2EDE">
        <w:rPr>
          <w:rFonts w:ascii="Cambria Math" w:hAnsi="Cambria Math" w:cs="Cambria Math"/>
        </w:rPr>
        <w:t>‑</w:t>
      </w:r>
      <w:r w:rsidRPr="003A2EDE">
        <w:t xml:space="preserve">MMO), the UNESCO-IOC </w:t>
      </w:r>
      <w:proofErr w:type="spellStart"/>
      <w:r w:rsidRPr="003A2EDE">
        <w:t>Subcommission</w:t>
      </w:r>
      <w:proofErr w:type="spellEnd"/>
      <w:r w:rsidRPr="003A2EDE">
        <w:t xml:space="preserve"> for the Caribbean and Adjacent Regions (IOCARIBE), and other relevant regional and international entities</w:t>
      </w:r>
      <w:r w:rsidR="001944E6">
        <w:t>;</w:t>
      </w:r>
    </w:p>
    <w:p w14:paraId="238C08F4" w14:textId="77777777" w:rsidR="001944E6" w:rsidRDefault="000552AB" w:rsidP="000552AB">
      <w:pPr>
        <w:pStyle w:val="WMOIndent1"/>
      </w:pPr>
      <w:r w:rsidRPr="003A2EDE">
        <w:t>(</w:t>
      </w:r>
      <w:r w:rsidR="00FC6BFE">
        <w:t>8</w:t>
      </w:r>
      <w:r w:rsidRPr="003A2EDE">
        <w:t>)</w:t>
      </w:r>
      <w:r w:rsidRPr="003A2EDE">
        <w:tab/>
      </w:r>
      <w:r w:rsidR="0080742E" w:rsidRPr="003A2EDE">
        <w:t>C</w:t>
      </w:r>
      <w:r w:rsidRPr="003A2EDE">
        <w:t>oordinat</w:t>
      </w:r>
      <w:r w:rsidR="0080742E" w:rsidRPr="003A2EDE">
        <w:t>ion of</w:t>
      </w:r>
      <w:r w:rsidRPr="003A2EDE">
        <w:t xml:space="preserve"> efforts with Mexico and Central American members to replicate the successful radar integration process followed in the Caribbean, in collaboration with the INFCOM/SC-MINT/Expert Team on Operational Weather Radar (ET-OWR)</w:t>
      </w:r>
      <w:r w:rsidR="001944E6">
        <w:t>;</w:t>
      </w:r>
    </w:p>
    <w:p w14:paraId="4E403867" w14:textId="77777777" w:rsidR="001944E6" w:rsidRDefault="001944E6">
      <w:pPr>
        <w:tabs>
          <w:tab w:val="clear" w:pos="1134"/>
        </w:tabs>
        <w:jc w:val="left"/>
        <w:rPr>
          <w:rFonts w:eastAsia="Times New Roman" w:cs="Times New Roman"/>
          <w:lang w:eastAsia="zh-TW"/>
        </w:rPr>
      </w:pPr>
      <w:r>
        <w:br w:type="page"/>
      </w:r>
    </w:p>
    <w:p w14:paraId="10C0B75D" w14:textId="77777777" w:rsidR="00E75923" w:rsidRDefault="00E75923" w:rsidP="00FC6BFE">
      <w:pPr>
        <w:pStyle w:val="WMOIndent1"/>
      </w:pPr>
    </w:p>
    <w:p w14:paraId="4C472C7F" w14:textId="77777777" w:rsidR="00513322" w:rsidRDefault="000552AB" w:rsidP="00FC6BFE">
      <w:pPr>
        <w:pStyle w:val="WMOIndent1"/>
      </w:pPr>
      <w:r w:rsidRPr="003A2EDE">
        <w:t>(</w:t>
      </w:r>
      <w:r w:rsidR="00FC6BFE">
        <w:t>9</w:t>
      </w:r>
      <w:r w:rsidRPr="003A2EDE">
        <w:t>)</w:t>
      </w:r>
      <w:r w:rsidRPr="003A2EDE">
        <w:tab/>
      </w:r>
      <w:r w:rsidR="0080742E" w:rsidRPr="003A2EDE">
        <w:t>P</w:t>
      </w:r>
      <w:r w:rsidRPr="003A2EDE">
        <w:t>repar</w:t>
      </w:r>
      <w:r w:rsidR="0080742E" w:rsidRPr="003A2EDE">
        <w:t>ation of</w:t>
      </w:r>
      <w:r w:rsidRPr="003A2EDE">
        <w:t xml:space="preserve"> a position paper on radio frequency interference for vital operations to advocate for its regulation at the highest level, in collaboration with the INFCOM/SC-ON Expert Team on Radio Frequency Coordination (ET-RFC)</w:t>
      </w:r>
      <w:r w:rsidR="00A947FB">
        <w:t>.</w:t>
      </w:r>
    </w:p>
    <w:p w14:paraId="6182E970" w14:textId="77777777" w:rsidR="003A2EDE" w:rsidRPr="003A2EDE" w:rsidRDefault="003A2EDE" w:rsidP="003F3B5E">
      <w:pPr>
        <w:shd w:val="clear" w:color="auto" w:fill="FFFFFF" w:themeFill="background1"/>
        <w:tabs>
          <w:tab w:val="clear" w:pos="1134"/>
        </w:tabs>
        <w:spacing w:before="240"/>
        <w:jc w:val="left"/>
      </w:pPr>
      <w:r w:rsidRPr="003A2EDE">
        <w:t>_______</w:t>
      </w:r>
    </w:p>
    <w:p w14:paraId="76425DB4" w14:textId="77777777" w:rsidR="003A2EDE" w:rsidRPr="003A2EDE" w:rsidRDefault="003A2EDE" w:rsidP="003A2EDE">
      <w:pPr>
        <w:pStyle w:val="WMOBodyText"/>
        <w:spacing w:after="120"/>
      </w:pPr>
      <w:r w:rsidRPr="003A2EDE">
        <w:t>Decision justification:</w:t>
      </w:r>
    </w:p>
    <w:p w14:paraId="6B11B16F" w14:textId="77777777" w:rsidR="003A2EDE" w:rsidRPr="003A2EDE" w:rsidRDefault="003A2EDE" w:rsidP="003A2EDE">
      <w:pPr>
        <w:pStyle w:val="WMOIndent1"/>
      </w:pPr>
      <w:r w:rsidRPr="003A2EDE">
        <w:t>(1)</w:t>
      </w:r>
      <w:r w:rsidRPr="003A2EDE">
        <w:tab/>
      </w:r>
      <w:hyperlink r:id="rId22" w:anchor="page=42" w:history="1">
        <w:r w:rsidRPr="003A2EDE">
          <w:rPr>
            <w:rStyle w:val="Hyperlink"/>
          </w:rPr>
          <w:t xml:space="preserve">Decision </w:t>
        </w:r>
        <w:bdo w:val="ltr">
          <w:r w:rsidRPr="003A2EDE">
            <w:rPr>
              <w:rStyle w:val="Hyperlink"/>
            </w:rPr>
            <w:t xml:space="preserve">8 </w:t>
          </w:r>
          <w:bdo w:val="ltr">
            <w:r w:rsidRPr="003A2EDE">
              <w:rPr>
                <w:rStyle w:val="Hyperlink"/>
              </w:rPr>
              <w:t>(RA IV-18)</w:t>
            </w:r>
            <w:r>
              <w:t>‬</w:t>
            </w:r>
            <w:r>
              <w:t>‬</w:t>
            </w:r>
            <w:r w:rsidR="008F3ECD">
              <w:t>‬</w:t>
            </w:r>
            <w:r w:rsidR="008F3ECD">
              <w:t>‬</w:t>
            </w:r>
            <w:r w:rsidR="002B251C">
              <w:t>‬</w:t>
            </w:r>
            <w:r w:rsidR="002B251C">
              <w:t>‬</w:t>
            </w:r>
            <w:r>
              <w:t>‬</w:t>
            </w:r>
            <w:r>
              <w:t>‬</w:t>
            </w:r>
            <w:r w:rsidR="00A32BE4">
              <w:t>‬</w:t>
            </w:r>
            <w:r w:rsidR="00A32BE4">
              <w:t>‬</w:t>
            </w:r>
            <w:r>
              <w:t>‬</w:t>
            </w:r>
            <w:r>
              <w:t>‬</w:t>
            </w:r>
            <w:r w:rsidR="00EF782A">
              <w:t>‬</w:t>
            </w:r>
            <w:r w:rsidR="00EF782A">
              <w:t>‬</w:t>
            </w:r>
            <w:r w:rsidR="00EF782A">
              <w:t>‬</w:t>
            </w:r>
            <w:r w:rsidR="00EF782A">
              <w:t>‬</w:t>
            </w:r>
            <w:r w:rsidR="00EF782A">
              <w:t>‬</w:t>
            </w:r>
            <w:r w:rsidR="00EF782A">
              <w:t>‬</w:t>
            </w:r>
            <w:r w:rsidR="00B45FC1">
              <w:t>‬</w:t>
            </w:r>
            <w:r w:rsidR="00B45FC1">
              <w:t>‬</w:t>
            </w:r>
            <w:r>
              <w:t>‬</w:t>
            </w:r>
            <w:r>
              <w:t>‬</w:t>
            </w:r>
            <w:r w:rsidR="00A72B11">
              <w:t>‬</w:t>
            </w:r>
            <w:r w:rsidR="00A72B11">
              <w:t>‬</w:t>
            </w:r>
            <w:r w:rsidR="00A72B11">
              <w:t>‬</w:t>
            </w:r>
            <w:r w:rsidR="00A72B11">
              <w:t>‬</w:t>
            </w:r>
            <w:r w:rsidR="00083835">
              <w:t>‬</w:t>
            </w:r>
            <w:r w:rsidR="00083835">
              <w:t>‬</w:t>
            </w:r>
            <w:r>
              <w:t>‬</w:t>
            </w:r>
            <w:r>
              <w:t>‬</w:t>
            </w:r>
            <w:r w:rsidR="00C372DF">
              <w:t>‬</w:t>
            </w:r>
            <w:r w:rsidR="00C372DF">
              <w:t>‬</w:t>
            </w:r>
            <w:r w:rsidR="002A0D28">
              <w:t>‬</w:t>
            </w:r>
            <w:r w:rsidR="002A0D28">
              <w:t>‬</w:t>
            </w:r>
            <w:r>
              <w:t>‬</w:t>
            </w:r>
            <w:r>
              <w:t>‬</w:t>
            </w:r>
            <w:r w:rsidR="007C53F5">
              <w:t>‬</w:t>
            </w:r>
            <w:r w:rsidR="007C53F5">
              <w:t>‬</w:t>
            </w:r>
            <w:r w:rsidR="00AB1565">
              <w:t>‬</w:t>
            </w:r>
            <w:r w:rsidR="00AB1565">
              <w:t>‬</w:t>
            </w:r>
            <w:r w:rsidR="00176070">
              <w:t>‬</w:t>
            </w:r>
            <w:r w:rsidR="00176070">
              <w:t>‬</w:t>
            </w:r>
            <w:r w:rsidR="00000000">
              <w:t>‬</w:t>
            </w:r>
            <w:r w:rsidR="00000000">
              <w:t>‬</w:t>
            </w:r>
          </w:bdo>
        </w:bdo>
      </w:hyperlink>
      <w:r w:rsidRPr="003A2EDE">
        <w:t xml:space="preserve"> – Regional Basic Observing Network design,</w:t>
      </w:r>
    </w:p>
    <w:p w14:paraId="20D0D0A9" w14:textId="77777777" w:rsidR="003A2EDE" w:rsidRDefault="003A2EDE" w:rsidP="003A2EDE">
      <w:pPr>
        <w:pStyle w:val="WMOIndent1"/>
      </w:pPr>
      <w:r w:rsidRPr="003A2EDE">
        <w:t>(2)</w:t>
      </w:r>
      <w:r w:rsidRPr="003A2EDE">
        <w:tab/>
      </w:r>
      <w:hyperlink r:id="rId23" w:anchor="page=47" w:history="1">
        <w:r w:rsidRPr="003A2EDE">
          <w:rPr>
            <w:rStyle w:val="Hyperlink"/>
          </w:rPr>
          <w:t xml:space="preserve">Decision </w:t>
        </w:r>
        <w:bdo w:val="ltr">
          <w:r w:rsidRPr="003A2EDE">
            <w:rPr>
              <w:rStyle w:val="Hyperlink"/>
            </w:rPr>
            <w:t xml:space="preserve">12 </w:t>
          </w:r>
          <w:bdo w:val="ltr">
            <w:r w:rsidRPr="003A2EDE">
              <w:rPr>
                <w:rStyle w:val="Hyperlink"/>
              </w:rPr>
              <w:t>(RA IV-18)</w:t>
            </w:r>
            <w:r>
              <w:t>‬</w:t>
            </w:r>
            <w:r>
              <w:t>‬</w:t>
            </w:r>
            <w:r w:rsidR="008F3ECD">
              <w:t>‬</w:t>
            </w:r>
            <w:r w:rsidR="008F3ECD">
              <w:t>‬</w:t>
            </w:r>
            <w:r w:rsidR="002B251C">
              <w:t>‬</w:t>
            </w:r>
            <w:r w:rsidR="002B251C">
              <w:t>‬</w:t>
            </w:r>
            <w:r>
              <w:t>‬</w:t>
            </w:r>
            <w:r>
              <w:t>‬</w:t>
            </w:r>
            <w:r w:rsidR="00A32BE4">
              <w:t>‬</w:t>
            </w:r>
            <w:r w:rsidR="00A32BE4">
              <w:t>‬</w:t>
            </w:r>
            <w:r>
              <w:t>‬</w:t>
            </w:r>
            <w:r>
              <w:t>‬</w:t>
            </w:r>
            <w:r w:rsidR="00EF782A">
              <w:t>‬</w:t>
            </w:r>
            <w:r w:rsidR="00EF782A">
              <w:t>‬</w:t>
            </w:r>
            <w:r w:rsidR="00EF782A">
              <w:t>‬</w:t>
            </w:r>
            <w:r w:rsidR="00EF782A">
              <w:t>‬</w:t>
            </w:r>
            <w:r w:rsidR="00EF782A">
              <w:t>‬</w:t>
            </w:r>
            <w:r w:rsidR="00EF782A">
              <w:t>‬</w:t>
            </w:r>
            <w:r w:rsidR="00B45FC1">
              <w:t>‬</w:t>
            </w:r>
            <w:r w:rsidR="00B45FC1">
              <w:t>‬</w:t>
            </w:r>
            <w:r>
              <w:t>‬</w:t>
            </w:r>
            <w:r>
              <w:t>‬</w:t>
            </w:r>
            <w:r w:rsidR="00A72B11">
              <w:t>‬</w:t>
            </w:r>
            <w:r w:rsidR="00A72B11">
              <w:t>‬</w:t>
            </w:r>
            <w:r w:rsidR="00A72B11">
              <w:t>‬</w:t>
            </w:r>
            <w:r w:rsidR="00A72B11">
              <w:t>‬</w:t>
            </w:r>
            <w:r w:rsidR="00083835">
              <w:t>‬</w:t>
            </w:r>
            <w:r w:rsidR="00083835">
              <w:t>‬</w:t>
            </w:r>
            <w:r>
              <w:t>‬</w:t>
            </w:r>
            <w:r>
              <w:t>‬</w:t>
            </w:r>
            <w:r w:rsidR="00C372DF">
              <w:t>‬</w:t>
            </w:r>
            <w:r w:rsidR="00C372DF">
              <w:t>‬</w:t>
            </w:r>
            <w:r w:rsidR="002A0D28">
              <w:t>‬</w:t>
            </w:r>
            <w:r w:rsidR="002A0D28">
              <w:t>‬</w:t>
            </w:r>
            <w:r>
              <w:t>‬</w:t>
            </w:r>
            <w:r>
              <w:t>‬</w:t>
            </w:r>
            <w:r w:rsidR="007C53F5">
              <w:t>‬</w:t>
            </w:r>
            <w:r w:rsidR="007C53F5">
              <w:t>‬</w:t>
            </w:r>
            <w:r w:rsidR="00AB1565">
              <w:t>‬</w:t>
            </w:r>
            <w:r w:rsidR="00AB1565">
              <w:t>‬</w:t>
            </w:r>
            <w:r w:rsidR="00176070">
              <w:t>‬</w:t>
            </w:r>
            <w:r w:rsidR="00176070">
              <w:t>‬</w:t>
            </w:r>
            <w:r w:rsidR="00000000">
              <w:t>‬</w:t>
            </w:r>
            <w:r w:rsidR="00000000">
              <w:t>‬</w:t>
            </w:r>
          </w:bdo>
        </w:bdo>
      </w:hyperlink>
      <w:r w:rsidRPr="003A2EDE">
        <w:t xml:space="preserve"> – Regional priorities </w:t>
      </w:r>
      <w:bdo w:val="ltr">
        <w:r w:rsidRPr="003A2EDE">
          <w:t>2024</w:t>
        </w:r>
        <w:r w:rsidRPr="003A2EDE">
          <w:rPr>
            <w:rFonts w:cs="Verdana"/>
          </w:rPr>
          <w:t>–</w:t>
        </w:r>
        <w:r w:rsidRPr="003A2EDE">
          <w:t>2027.</w:t>
        </w:r>
        <w:r>
          <w:t>‬</w:t>
        </w:r>
        <w:r w:rsidR="008F3ECD">
          <w:t>‬</w:t>
        </w:r>
        <w:r w:rsidR="002B251C">
          <w:t>‬</w:t>
        </w:r>
        <w:r>
          <w:t>‬</w:t>
        </w:r>
        <w:r w:rsidR="00A32BE4">
          <w:t>‬</w:t>
        </w:r>
        <w:r>
          <w:t>‬</w:t>
        </w:r>
        <w:r w:rsidR="00EF782A">
          <w:t>‬</w:t>
        </w:r>
        <w:r w:rsidR="00EF782A">
          <w:t>‬</w:t>
        </w:r>
        <w:r w:rsidR="00EF782A">
          <w:t>‬</w:t>
        </w:r>
        <w:r w:rsidR="00B45FC1">
          <w:t>‬</w:t>
        </w:r>
        <w:r>
          <w:t>‬</w:t>
        </w:r>
        <w:r w:rsidR="00A72B11">
          <w:t>‬</w:t>
        </w:r>
        <w:r w:rsidR="00A72B11">
          <w:t>‬</w:t>
        </w:r>
        <w:r w:rsidR="00083835">
          <w:t>‬</w:t>
        </w:r>
        <w:r>
          <w:t>‬</w:t>
        </w:r>
        <w:r w:rsidR="00C372DF">
          <w:t>‬</w:t>
        </w:r>
        <w:r w:rsidR="002A0D28">
          <w:t>‬</w:t>
        </w:r>
        <w:r>
          <w:t>‬</w:t>
        </w:r>
        <w:r w:rsidR="007C53F5">
          <w:t>‬</w:t>
        </w:r>
        <w:r w:rsidR="00AB1565">
          <w:t>‬</w:t>
        </w:r>
        <w:r w:rsidR="00176070">
          <w:t>‬</w:t>
        </w:r>
        <w:r w:rsidR="00000000">
          <w:t>‬</w:t>
        </w:r>
      </w:bdo>
    </w:p>
    <w:p w14:paraId="05E19513" w14:textId="77777777" w:rsidR="00896428" w:rsidRDefault="00896428" w:rsidP="00896428">
      <w:pPr>
        <w:pStyle w:val="WMOIndent1"/>
        <w:jc w:val="center"/>
      </w:pPr>
      <w:r>
        <w:t>______________</w:t>
      </w:r>
    </w:p>
    <w:sectPr w:rsidR="00896428"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E291" w14:textId="77777777" w:rsidR="00E5125F" w:rsidRDefault="00E5125F">
      <w:r>
        <w:separator/>
      </w:r>
    </w:p>
    <w:p w14:paraId="2120CC6A" w14:textId="77777777" w:rsidR="00E5125F" w:rsidRDefault="00E5125F"/>
    <w:p w14:paraId="024EBC2E" w14:textId="77777777" w:rsidR="00E5125F" w:rsidRDefault="00E5125F"/>
  </w:endnote>
  <w:endnote w:type="continuationSeparator" w:id="0">
    <w:p w14:paraId="0B7198DF" w14:textId="77777777" w:rsidR="00E5125F" w:rsidRDefault="00E5125F">
      <w:r>
        <w:continuationSeparator/>
      </w:r>
    </w:p>
    <w:p w14:paraId="2002481A" w14:textId="77777777" w:rsidR="00E5125F" w:rsidRDefault="00E5125F"/>
    <w:p w14:paraId="1294E3EA" w14:textId="77777777" w:rsidR="00E5125F" w:rsidRDefault="00E5125F"/>
  </w:endnote>
  <w:endnote w:type="continuationNotice" w:id="1">
    <w:p w14:paraId="75956D1C" w14:textId="77777777" w:rsidR="00E5125F" w:rsidRDefault="00E51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7B77" w14:textId="77777777" w:rsidR="00E5125F" w:rsidRDefault="00E5125F">
      <w:r>
        <w:separator/>
      </w:r>
    </w:p>
  </w:footnote>
  <w:footnote w:type="continuationSeparator" w:id="0">
    <w:p w14:paraId="1087FAEA" w14:textId="77777777" w:rsidR="00E5125F" w:rsidRDefault="00E5125F">
      <w:r>
        <w:continuationSeparator/>
      </w:r>
    </w:p>
    <w:p w14:paraId="4BB19762" w14:textId="77777777" w:rsidR="00E5125F" w:rsidRDefault="00E5125F"/>
    <w:p w14:paraId="7709632A" w14:textId="77777777" w:rsidR="00E5125F" w:rsidRDefault="00E5125F"/>
  </w:footnote>
  <w:footnote w:type="continuationNotice" w:id="1">
    <w:p w14:paraId="0DFDCE89" w14:textId="77777777" w:rsidR="00E5125F" w:rsidRDefault="00E5125F"/>
  </w:footnote>
  <w:footnote w:id="2">
    <w:p w14:paraId="110BC498" w14:textId="77777777" w:rsidR="00A056B0" w:rsidRPr="00A056B0" w:rsidRDefault="00A056B0">
      <w:pPr>
        <w:pStyle w:val="FootnoteText"/>
        <w:rPr>
          <w:lang w:val="en-US"/>
        </w:rPr>
      </w:pPr>
      <w:r>
        <w:rPr>
          <w:rStyle w:val="FootnoteReference"/>
        </w:rPr>
        <w:t>*</w:t>
      </w:r>
      <w:r>
        <w:t xml:space="preserve"> </w:t>
      </w:r>
      <w:r w:rsidRPr="00A056B0">
        <w:t xml:space="preserve">It is not a WMO Member </w:t>
      </w:r>
      <w:r w:rsidR="009C17BF" w:rsidRPr="009C17BF">
        <w:t>but has been included in regional operational coordination at the request of the British Caribbean Territories</w:t>
      </w:r>
      <w:r w:rsidRPr="00A056B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F722" w14:textId="77777777" w:rsidR="003E59AC" w:rsidRDefault="00000000">
    <w:pPr>
      <w:pStyle w:val="Header"/>
    </w:pPr>
    <w:r>
      <w:rPr>
        <w:noProof/>
      </w:rPr>
      <w:pict w14:anchorId="07E4A39E">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658E22">
        <v:shape id="_x0000_s1073" type="#_x0000_m110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66BC8C" w14:textId="77777777" w:rsidR="00176070" w:rsidRDefault="00176070"/>
  <w:p w14:paraId="765C47F5" w14:textId="77777777" w:rsidR="003E59AC" w:rsidRDefault="00000000">
    <w:pPr>
      <w:pStyle w:val="Header"/>
    </w:pPr>
    <w:r>
      <w:rPr>
        <w:noProof/>
      </w:rPr>
      <w:pict w14:anchorId="780A8EDB">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1765F6">
        <v:shape id="_x0000_s1075" type="#_x0000_m109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418102" w14:textId="77777777" w:rsidR="00176070" w:rsidRDefault="00176070"/>
  <w:p w14:paraId="64FEFF11" w14:textId="77777777" w:rsidR="003E59AC" w:rsidRDefault="00000000">
    <w:pPr>
      <w:pStyle w:val="Header"/>
    </w:pPr>
    <w:r>
      <w:rPr>
        <w:noProof/>
      </w:rPr>
      <w:pict w14:anchorId="44AF78B1">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B5EE7A">
        <v:shape id="_x0000_s1077" type="#_x0000_m1098"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8C2B1C" w14:textId="77777777" w:rsidR="00176070" w:rsidRDefault="00176070"/>
  <w:p w14:paraId="0D5E9549" w14:textId="77777777" w:rsidR="002E2EF9" w:rsidRDefault="00000000">
    <w:pPr>
      <w:pStyle w:val="Header"/>
    </w:pPr>
    <w:r>
      <w:rPr>
        <w:noProof/>
      </w:rPr>
      <w:pict w14:anchorId="508A7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0;margin-top:0;width:50pt;height:50pt;z-index:251650048;visibility:hidden">
          <v:path gradientshapeok="f"/>
          <o:lock v:ext="edit" selection="t"/>
        </v:shape>
      </w:pict>
    </w:r>
    <w:r>
      <w:pict w14:anchorId="6C47993E">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1CECA26">
        <v:shape id="WordPictureWatermark835936646" o:spid="_x0000_s1090" type="#_x0000_m1097"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91C945" w14:textId="77777777" w:rsidR="00A72B11" w:rsidRDefault="00A72B11"/>
  <w:p w14:paraId="73E314EF" w14:textId="77777777" w:rsidR="002E2EF9" w:rsidRDefault="00000000">
    <w:pPr>
      <w:pStyle w:val="Header"/>
    </w:pPr>
    <w:r>
      <w:rPr>
        <w:noProof/>
      </w:rPr>
      <w:pict w14:anchorId="452DD990">
        <v:shape id="_x0000_s1089" type="#_x0000_t75" style="position:absolute;left:0;text-align:left;margin-left:0;margin-top:0;width:50pt;height:50pt;z-index:251651072;visibility:hidden">
          <v:path gradientshapeok="f"/>
          <o:lock v:ext="edit" selection="t"/>
        </v:shape>
      </w:pict>
    </w:r>
  </w:p>
  <w:p w14:paraId="69A70FDB" w14:textId="77777777" w:rsidR="00A72B11" w:rsidRDefault="00A72B11"/>
  <w:p w14:paraId="491833AD" w14:textId="77777777" w:rsidR="002E2EF9" w:rsidRDefault="00000000">
    <w:pPr>
      <w:pStyle w:val="Header"/>
    </w:pPr>
    <w:r>
      <w:rPr>
        <w:noProof/>
      </w:rPr>
      <w:pict w14:anchorId="0B004747">
        <v:shape id="_x0000_s1088" type="#_x0000_t75" style="position:absolute;left:0;text-align:left;margin-left:0;margin-top:0;width:50pt;height:50pt;z-index:251652096;visibility:hidden">
          <v:path gradientshapeok="f"/>
          <o:lock v:ext="edit" selection="t"/>
        </v:shape>
      </w:pict>
    </w:r>
  </w:p>
  <w:p w14:paraId="40835C00" w14:textId="77777777" w:rsidR="00A72B11" w:rsidRDefault="00A72B11"/>
  <w:p w14:paraId="0A6D31E9" w14:textId="77777777" w:rsidR="00CC04A5" w:rsidRDefault="00000000">
    <w:pPr>
      <w:pStyle w:val="Header"/>
    </w:pPr>
    <w:r>
      <w:rPr>
        <w:noProof/>
      </w:rPr>
      <w:pict w14:anchorId="24BB19BB">
        <v:shape id="_x0000_s1068" type="#_x0000_t75" style="position:absolute;left:0;text-align:left;margin-left:0;margin-top:0;width:50pt;height:50pt;z-index:251658240;visibility:hidden">
          <v:path gradientshapeok="f"/>
          <o:lock v:ext="edit" selection="t"/>
        </v:shape>
      </w:pict>
    </w:r>
    <w:r>
      <w:pict w14:anchorId="38D6D17B">
        <v:shape id="_x0000_s1087" type="#_x0000_t75" style="position:absolute;left:0;text-align:left;margin-left:0;margin-top:0;width:50pt;height:50pt;z-index:251653120;visibility:hidden">
          <v:path gradientshapeok="f"/>
          <o:lock v:ext="edit" selection="t"/>
        </v:shape>
      </w:pict>
    </w:r>
  </w:p>
  <w:p w14:paraId="1A207D2E" w14:textId="77777777" w:rsidR="00A32BE4" w:rsidRDefault="00A32BE4"/>
  <w:p w14:paraId="6B6F16C4" w14:textId="77777777" w:rsidR="00CC04A5" w:rsidRDefault="00000000">
    <w:pPr>
      <w:pStyle w:val="Header"/>
    </w:pPr>
    <w:r>
      <w:rPr>
        <w:noProof/>
      </w:rPr>
      <w:pict w14:anchorId="242F3E84">
        <v:shape id="_x0000_s1065" type="#_x0000_t75" style="position:absolute;left:0;text-align:left;margin-left:0;margin-top:0;width:50pt;height:50pt;z-index:251659264;visibility:hidden">
          <v:path gradientshapeok="f"/>
          <o:lock v:ext="edit" selection="t"/>
        </v:shape>
      </w:pict>
    </w:r>
  </w:p>
  <w:p w14:paraId="1FC93ADE" w14:textId="77777777" w:rsidR="00A32BE4" w:rsidRDefault="00A32BE4"/>
  <w:p w14:paraId="05E40C3A" w14:textId="77777777" w:rsidR="00CC04A5" w:rsidRDefault="00000000">
    <w:pPr>
      <w:pStyle w:val="Header"/>
    </w:pPr>
    <w:r>
      <w:rPr>
        <w:noProof/>
      </w:rPr>
      <w:pict w14:anchorId="437E17D5">
        <v:shape id="_x0000_s1064" type="#_x0000_t75" style="position:absolute;left:0;text-align:left;margin-left:0;margin-top:0;width:50pt;height:50pt;z-index:251660288;visibility:hidden">
          <v:path gradientshapeok="f"/>
          <o:lock v:ext="edit" selection="t"/>
        </v:shape>
      </w:pict>
    </w:r>
  </w:p>
  <w:p w14:paraId="18B5BBAE" w14:textId="77777777" w:rsidR="00A32BE4" w:rsidRDefault="00A32BE4"/>
  <w:p w14:paraId="0EEDB4F1" w14:textId="77777777" w:rsidR="00876F1D" w:rsidRDefault="00000000">
    <w:pPr>
      <w:pStyle w:val="Header"/>
    </w:pPr>
    <w:r>
      <w:rPr>
        <w:noProof/>
      </w:rPr>
      <w:pict w14:anchorId="576523F7">
        <v:shape id="_x0000_s1044" type="#_x0000_t75" style="position:absolute;left:0;text-align:left;margin-left:0;margin-top:0;width:50pt;height:50pt;z-index:251670528;visibility:hidden">
          <v:path gradientshapeok="f"/>
          <o:lock v:ext="edit" selection="t"/>
        </v:shape>
      </w:pict>
    </w:r>
    <w:r>
      <w:pict w14:anchorId="5E218F8C">
        <v:shape id="_x0000_s1063" type="#_x0000_t75" style="position:absolute;left:0;text-align:left;margin-left:0;margin-top:0;width:50pt;height:50pt;z-index:25166131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0128" w14:textId="0244911E" w:rsidR="00A432CD" w:rsidRDefault="002C3CB2" w:rsidP="00B72444">
    <w:pPr>
      <w:pStyle w:val="Header"/>
    </w:pPr>
    <w:r>
      <w:t>RA IV-19(I)/Doc. 3.1</w:t>
    </w:r>
    <w:r w:rsidR="00A432CD" w:rsidRPr="00C2459D">
      <w:t xml:space="preserve">, </w:t>
    </w:r>
    <w:r w:rsidR="00813626">
      <w:t>APPROVED</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488CD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5F6246D5">
        <v:shape id="_x0000_s1040"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584434DD">
        <v:shape id="_x0000_s1048"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4BACFA2C">
        <v:shape id="_x0000_s1047" type="#_x0000_t75" style="position:absolute;left:0;text-align:left;margin-left:0;margin-top:0;width:50pt;height:50pt;z-index:251664384;visibility:hidden;mso-position-horizontal-relative:text;mso-position-vertical-relative:text">
          <v:path gradientshapeok="f"/>
          <o:lock v:ext="edit" selection="t"/>
        </v:shape>
      </w:pict>
    </w:r>
    <w:r w:rsidR="00000000">
      <w:pict w14:anchorId="46063570">
        <v:shape id="_x0000_s1072"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773CE027">
        <v:shape id="_x0000_s1071"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75702988">
        <v:shape id="_x0000_s1096" type="#_x0000_t75" style="position:absolute;left:0;text-align:left;margin-left:0;margin-top:0;width:50pt;height:50pt;z-index:251645952;visibility:hidden;mso-position-horizontal-relative:text;mso-position-vertical-relative:text">
          <v:path gradientshapeok="f"/>
          <o:lock v:ext="edit" selection="t"/>
        </v:shape>
      </w:pict>
    </w:r>
    <w:r w:rsidR="00000000">
      <w:pict w14:anchorId="03FCEC10">
        <v:shape id="_x0000_s1095"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09B2" w14:textId="2EEBDAAE" w:rsidR="00876F1D" w:rsidRDefault="00000000" w:rsidP="0098455E">
    <w:pPr>
      <w:pStyle w:val="Header"/>
      <w:spacing w:after="120"/>
      <w:jc w:val="left"/>
    </w:pPr>
    <w:r>
      <w:rPr>
        <w:noProof/>
      </w:rPr>
      <w:pict w14:anchorId="1C2F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73600;visibility:hidden">
          <v:path gradientshapeok="f"/>
          <o:lock v:ext="edit" selection="t"/>
        </v:shape>
      </w:pict>
    </w:r>
    <w:r>
      <w:pict w14:anchorId="6853BAF0">
        <v:shape id="_x0000_s1046" type="#_x0000_t75" style="position:absolute;margin-left:0;margin-top:0;width:50pt;height:50pt;z-index:251668480;visibility:hidden">
          <v:path gradientshapeok="f"/>
          <o:lock v:ext="edit" selection="t"/>
        </v:shape>
      </w:pict>
    </w:r>
    <w:r>
      <w:pict w14:anchorId="6F37856B">
        <v:shape id="_x0000_s1045" type="#_x0000_t75" style="position:absolute;margin-left:0;margin-top:0;width:50pt;height:50pt;z-index:251669504;visibility:hidden">
          <v:path gradientshapeok="f"/>
          <o:lock v:ext="edit" selection="t"/>
        </v:shape>
      </w:pict>
    </w:r>
    <w:r>
      <w:pict w14:anchorId="400639DB">
        <v:shape id="_x0000_s1070" type="#_x0000_t75" style="position:absolute;margin-left:0;margin-top:0;width:50pt;height:50pt;z-index:251656192;visibility:hidden">
          <v:path gradientshapeok="f"/>
          <o:lock v:ext="edit" selection="t"/>
        </v:shape>
      </w:pict>
    </w:r>
    <w:r>
      <w:pict w14:anchorId="49E65442">
        <v:shape id="_x0000_s1069" type="#_x0000_t75" style="position:absolute;margin-left:0;margin-top:0;width:50pt;height:50pt;z-index:251657216;visibility:hidden">
          <v:path gradientshapeok="f"/>
          <o:lock v:ext="edit" selection="t"/>
        </v:shape>
      </w:pict>
    </w:r>
    <w:r>
      <w:pict w14:anchorId="243B4FAE">
        <v:shape id="_x0000_s1094" type="#_x0000_t75" style="position:absolute;margin-left:0;margin-top:0;width:50pt;height:50pt;z-index:251648000;visibility:hidden">
          <v:path gradientshapeok="f"/>
          <o:lock v:ext="edit" selection="t"/>
        </v:shape>
      </w:pict>
    </w:r>
    <w:r>
      <w:pict w14:anchorId="68C40CBE">
        <v:shape id="_x0000_s1093" type="#_x0000_t75" style="position:absolute;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B4A33B9"/>
    <w:multiLevelType w:val="hybridMultilevel"/>
    <w:tmpl w:val="56E29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72269D"/>
    <w:multiLevelType w:val="hybridMultilevel"/>
    <w:tmpl w:val="67B89F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233049F"/>
    <w:multiLevelType w:val="hybridMultilevel"/>
    <w:tmpl w:val="67B89F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8"/>
  </w:num>
  <w:num w:numId="3" w16cid:durableId="957833695">
    <w:abstractNumId w:val="28"/>
  </w:num>
  <w:num w:numId="4" w16cid:durableId="968783429">
    <w:abstractNumId w:val="39"/>
  </w:num>
  <w:num w:numId="5" w16cid:durableId="1172719492">
    <w:abstractNumId w:val="18"/>
  </w:num>
  <w:num w:numId="6" w16cid:durableId="871111230">
    <w:abstractNumId w:val="23"/>
  </w:num>
  <w:num w:numId="7" w16cid:durableId="444038620">
    <w:abstractNumId w:val="19"/>
  </w:num>
  <w:num w:numId="8" w16cid:durableId="1023558460">
    <w:abstractNumId w:val="32"/>
  </w:num>
  <w:num w:numId="9" w16cid:durableId="232200402">
    <w:abstractNumId w:val="22"/>
  </w:num>
  <w:num w:numId="10" w16cid:durableId="1165822976">
    <w:abstractNumId w:val="21"/>
  </w:num>
  <w:num w:numId="11" w16cid:durableId="743069636">
    <w:abstractNumId w:val="38"/>
  </w:num>
  <w:num w:numId="12" w16cid:durableId="311106282">
    <w:abstractNumId w:val="12"/>
  </w:num>
  <w:num w:numId="13" w16cid:durableId="1415858570">
    <w:abstractNumId w:val="26"/>
  </w:num>
  <w:num w:numId="14" w16cid:durableId="1330016602">
    <w:abstractNumId w:val="44"/>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6"/>
  </w:num>
  <w:num w:numId="27" w16cid:durableId="981154153">
    <w:abstractNumId w:val="34"/>
  </w:num>
  <w:num w:numId="28" w16cid:durableId="433549528">
    <w:abstractNumId w:val="24"/>
  </w:num>
  <w:num w:numId="29" w16cid:durableId="1340351636">
    <w:abstractNumId w:val="35"/>
  </w:num>
  <w:num w:numId="30" w16cid:durableId="1982615580">
    <w:abstractNumId w:val="36"/>
  </w:num>
  <w:num w:numId="31" w16cid:durableId="1677540972">
    <w:abstractNumId w:val="15"/>
  </w:num>
  <w:num w:numId="32" w16cid:durableId="1759134454">
    <w:abstractNumId w:val="43"/>
  </w:num>
  <w:num w:numId="33" w16cid:durableId="17509296">
    <w:abstractNumId w:val="40"/>
  </w:num>
  <w:num w:numId="34" w16cid:durableId="1173759437">
    <w:abstractNumId w:val="25"/>
  </w:num>
  <w:num w:numId="35" w16cid:durableId="1719015953">
    <w:abstractNumId w:val="27"/>
  </w:num>
  <w:num w:numId="36" w16cid:durableId="1718235807">
    <w:abstractNumId w:val="47"/>
  </w:num>
  <w:num w:numId="37" w16cid:durableId="1186364771">
    <w:abstractNumId w:val="37"/>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5"/>
  </w:num>
  <w:num w:numId="43" w16cid:durableId="592015029">
    <w:abstractNumId w:val="17"/>
  </w:num>
  <w:num w:numId="44" w16cid:durableId="1542397698">
    <w:abstractNumId w:val="30"/>
  </w:num>
  <w:num w:numId="45" w16cid:durableId="803498138">
    <w:abstractNumId w:val="41"/>
  </w:num>
  <w:num w:numId="46" w16cid:durableId="1074668627">
    <w:abstractNumId w:val="11"/>
  </w:num>
  <w:num w:numId="47" w16cid:durableId="1936402736">
    <w:abstractNumId w:val="42"/>
  </w:num>
  <w:num w:numId="48" w16cid:durableId="270861057">
    <w:abstractNumId w:val="33"/>
  </w:num>
  <w:num w:numId="49" w16cid:durableId="617539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B2"/>
    <w:rsid w:val="00005301"/>
    <w:rsid w:val="000133EE"/>
    <w:rsid w:val="00017F7F"/>
    <w:rsid w:val="000206A8"/>
    <w:rsid w:val="00027205"/>
    <w:rsid w:val="0003137A"/>
    <w:rsid w:val="00041171"/>
    <w:rsid w:val="00041727"/>
    <w:rsid w:val="0004226F"/>
    <w:rsid w:val="0005000C"/>
    <w:rsid w:val="00050F8E"/>
    <w:rsid w:val="000518BB"/>
    <w:rsid w:val="000552AB"/>
    <w:rsid w:val="00056FD4"/>
    <w:rsid w:val="000573AD"/>
    <w:rsid w:val="0006123B"/>
    <w:rsid w:val="00064F6B"/>
    <w:rsid w:val="00072F17"/>
    <w:rsid w:val="000731AA"/>
    <w:rsid w:val="000806D8"/>
    <w:rsid w:val="00082C80"/>
    <w:rsid w:val="00083190"/>
    <w:rsid w:val="00083835"/>
    <w:rsid w:val="00083847"/>
    <w:rsid w:val="00083C36"/>
    <w:rsid w:val="00084D58"/>
    <w:rsid w:val="00092CAE"/>
    <w:rsid w:val="00095E48"/>
    <w:rsid w:val="000A184E"/>
    <w:rsid w:val="000A363F"/>
    <w:rsid w:val="000A4F1C"/>
    <w:rsid w:val="000A69BF"/>
    <w:rsid w:val="000C225A"/>
    <w:rsid w:val="000C6781"/>
    <w:rsid w:val="000D0753"/>
    <w:rsid w:val="000E3B9A"/>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2985"/>
    <w:rsid w:val="00163BA3"/>
    <w:rsid w:val="00166B31"/>
    <w:rsid w:val="00167D54"/>
    <w:rsid w:val="00176070"/>
    <w:rsid w:val="00176AB5"/>
    <w:rsid w:val="00180771"/>
    <w:rsid w:val="00190854"/>
    <w:rsid w:val="001923DE"/>
    <w:rsid w:val="001930A3"/>
    <w:rsid w:val="001944E6"/>
    <w:rsid w:val="0019699A"/>
    <w:rsid w:val="00196EB8"/>
    <w:rsid w:val="001A25F0"/>
    <w:rsid w:val="001A341E"/>
    <w:rsid w:val="001A6250"/>
    <w:rsid w:val="001B0EA6"/>
    <w:rsid w:val="001B1CDF"/>
    <w:rsid w:val="001B2EC4"/>
    <w:rsid w:val="001B56F4"/>
    <w:rsid w:val="001B6036"/>
    <w:rsid w:val="001C160A"/>
    <w:rsid w:val="001C5462"/>
    <w:rsid w:val="001C6744"/>
    <w:rsid w:val="001D265C"/>
    <w:rsid w:val="001D3062"/>
    <w:rsid w:val="001D3CFB"/>
    <w:rsid w:val="001D559B"/>
    <w:rsid w:val="001D6302"/>
    <w:rsid w:val="001E2C22"/>
    <w:rsid w:val="001E3118"/>
    <w:rsid w:val="001E740C"/>
    <w:rsid w:val="001E7DD0"/>
    <w:rsid w:val="001F1BDA"/>
    <w:rsid w:val="001F3E4C"/>
    <w:rsid w:val="0020095E"/>
    <w:rsid w:val="0020169D"/>
    <w:rsid w:val="0020505F"/>
    <w:rsid w:val="00210BFE"/>
    <w:rsid w:val="00210D30"/>
    <w:rsid w:val="00216E17"/>
    <w:rsid w:val="002204FD"/>
    <w:rsid w:val="00221020"/>
    <w:rsid w:val="00227029"/>
    <w:rsid w:val="002308B5"/>
    <w:rsid w:val="002339F4"/>
    <w:rsid w:val="00233C0B"/>
    <w:rsid w:val="00234A34"/>
    <w:rsid w:val="0024368D"/>
    <w:rsid w:val="00245842"/>
    <w:rsid w:val="0025255D"/>
    <w:rsid w:val="00255EE3"/>
    <w:rsid w:val="00256B3D"/>
    <w:rsid w:val="0026743C"/>
    <w:rsid w:val="00270480"/>
    <w:rsid w:val="00272189"/>
    <w:rsid w:val="002779AF"/>
    <w:rsid w:val="002823D8"/>
    <w:rsid w:val="0028531A"/>
    <w:rsid w:val="00285446"/>
    <w:rsid w:val="00290082"/>
    <w:rsid w:val="00295593"/>
    <w:rsid w:val="002A0D28"/>
    <w:rsid w:val="002A354F"/>
    <w:rsid w:val="002A386C"/>
    <w:rsid w:val="002A54D3"/>
    <w:rsid w:val="002B09DF"/>
    <w:rsid w:val="002B251C"/>
    <w:rsid w:val="002B2D7F"/>
    <w:rsid w:val="002B540D"/>
    <w:rsid w:val="002B7A7E"/>
    <w:rsid w:val="002C30BC"/>
    <w:rsid w:val="002C3CB2"/>
    <w:rsid w:val="002C5965"/>
    <w:rsid w:val="002C5E15"/>
    <w:rsid w:val="002C7A88"/>
    <w:rsid w:val="002C7AB9"/>
    <w:rsid w:val="002D0385"/>
    <w:rsid w:val="002D232B"/>
    <w:rsid w:val="002D2759"/>
    <w:rsid w:val="002D5E00"/>
    <w:rsid w:val="002D6DAC"/>
    <w:rsid w:val="002E261D"/>
    <w:rsid w:val="002E2EF9"/>
    <w:rsid w:val="002E3FAD"/>
    <w:rsid w:val="002E4E16"/>
    <w:rsid w:val="002F6DAC"/>
    <w:rsid w:val="00301E8C"/>
    <w:rsid w:val="00307DDD"/>
    <w:rsid w:val="003119D4"/>
    <w:rsid w:val="00312E33"/>
    <w:rsid w:val="003143C9"/>
    <w:rsid w:val="003146E9"/>
    <w:rsid w:val="00314D5D"/>
    <w:rsid w:val="00315B14"/>
    <w:rsid w:val="00320009"/>
    <w:rsid w:val="0032424A"/>
    <w:rsid w:val="00324535"/>
    <w:rsid w:val="003245D3"/>
    <w:rsid w:val="00330AA3"/>
    <w:rsid w:val="00331584"/>
    <w:rsid w:val="00331964"/>
    <w:rsid w:val="00334987"/>
    <w:rsid w:val="00335F48"/>
    <w:rsid w:val="00336FEB"/>
    <w:rsid w:val="00340C69"/>
    <w:rsid w:val="00342E34"/>
    <w:rsid w:val="003471D8"/>
    <w:rsid w:val="003532A2"/>
    <w:rsid w:val="00356D6E"/>
    <w:rsid w:val="0036535A"/>
    <w:rsid w:val="00371CF1"/>
    <w:rsid w:val="0037222D"/>
    <w:rsid w:val="00373128"/>
    <w:rsid w:val="003750C1"/>
    <w:rsid w:val="0038051E"/>
    <w:rsid w:val="00380AF7"/>
    <w:rsid w:val="003863F0"/>
    <w:rsid w:val="00392220"/>
    <w:rsid w:val="00394A05"/>
    <w:rsid w:val="00397770"/>
    <w:rsid w:val="00397880"/>
    <w:rsid w:val="003A015F"/>
    <w:rsid w:val="003A247F"/>
    <w:rsid w:val="003A2EDE"/>
    <w:rsid w:val="003A7016"/>
    <w:rsid w:val="003B0986"/>
    <w:rsid w:val="003B0C08"/>
    <w:rsid w:val="003B46A1"/>
    <w:rsid w:val="003C17A5"/>
    <w:rsid w:val="003C1843"/>
    <w:rsid w:val="003C336B"/>
    <w:rsid w:val="003D1552"/>
    <w:rsid w:val="003E381F"/>
    <w:rsid w:val="003E4046"/>
    <w:rsid w:val="003E59AC"/>
    <w:rsid w:val="003F003A"/>
    <w:rsid w:val="003F125B"/>
    <w:rsid w:val="003F3B5E"/>
    <w:rsid w:val="003F7B3F"/>
    <w:rsid w:val="004056C1"/>
    <w:rsid w:val="004058AD"/>
    <w:rsid w:val="00407890"/>
    <w:rsid w:val="0041078D"/>
    <w:rsid w:val="0041464A"/>
    <w:rsid w:val="00416F97"/>
    <w:rsid w:val="00423F9B"/>
    <w:rsid w:val="00425173"/>
    <w:rsid w:val="0043039B"/>
    <w:rsid w:val="00430620"/>
    <w:rsid w:val="00432ED0"/>
    <w:rsid w:val="00436197"/>
    <w:rsid w:val="004423FE"/>
    <w:rsid w:val="00445C35"/>
    <w:rsid w:val="00451C0D"/>
    <w:rsid w:val="00454B41"/>
    <w:rsid w:val="0045663A"/>
    <w:rsid w:val="0046344E"/>
    <w:rsid w:val="004667E7"/>
    <w:rsid w:val="004672CF"/>
    <w:rsid w:val="00470DEF"/>
    <w:rsid w:val="00475797"/>
    <w:rsid w:val="00475E83"/>
    <w:rsid w:val="00476D0A"/>
    <w:rsid w:val="00491024"/>
    <w:rsid w:val="0049253B"/>
    <w:rsid w:val="004A140B"/>
    <w:rsid w:val="004A372D"/>
    <w:rsid w:val="004A4B47"/>
    <w:rsid w:val="004A7EDD"/>
    <w:rsid w:val="004B0EC9"/>
    <w:rsid w:val="004B7BAA"/>
    <w:rsid w:val="004C2DF7"/>
    <w:rsid w:val="004C4E0B"/>
    <w:rsid w:val="004D13F3"/>
    <w:rsid w:val="004D24BA"/>
    <w:rsid w:val="004D497E"/>
    <w:rsid w:val="004E3192"/>
    <w:rsid w:val="004E4809"/>
    <w:rsid w:val="004E4CC3"/>
    <w:rsid w:val="004E5985"/>
    <w:rsid w:val="004E6352"/>
    <w:rsid w:val="004E6460"/>
    <w:rsid w:val="004F6B46"/>
    <w:rsid w:val="0050425E"/>
    <w:rsid w:val="00507E45"/>
    <w:rsid w:val="00511999"/>
    <w:rsid w:val="00513322"/>
    <w:rsid w:val="00514319"/>
    <w:rsid w:val="005145D6"/>
    <w:rsid w:val="00521EA5"/>
    <w:rsid w:val="00525B80"/>
    <w:rsid w:val="00530095"/>
    <w:rsid w:val="0053098F"/>
    <w:rsid w:val="00534A60"/>
    <w:rsid w:val="00536B2E"/>
    <w:rsid w:val="00546D8E"/>
    <w:rsid w:val="00553738"/>
    <w:rsid w:val="00553F7E"/>
    <w:rsid w:val="00554A76"/>
    <w:rsid w:val="00564893"/>
    <w:rsid w:val="0056646F"/>
    <w:rsid w:val="00571AE1"/>
    <w:rsid w:val="00581B28"/>
    <w:rsid w:val="00582AD8"/>
    <w:rsid w:val="0058365B"/>
    <w:rsid w:val="005859C2"/>
    <w:rsid w:val="00592267"/>
    <w:rsid w:val="0059421F"/>
    <w:rsid w:val="005A136D"/>
    <w:rsid w:val="005A308A"/>
    <w:rsid w:val="005B0AE2"/>
    <w:rsid w:val="005B1F2C"/>
    <w:rsid w:val="005B5F3C"/>
    <w:rsid w:val="005B62B1"/>
    <w:rsid w:val="005C41F2"/>
    <w:rsid w:val="005D03D9"/>
    <w:rsid w:val="005D1EE8"/>
    <w:rsid w:val="005D2E74"/>
    <w:rsid w:val="005D56AE"/>
    <w:rsid w:val="005D666D"/>
    <w:rsid w:val="005E3A59"/>
    <w:rsid w:val="005F260D"/>
    <w:rsid w:val="00604802"/>
    <w:rsid w:val="00615AB0"/>
    <w:rsid w:val="00616247"/>
    <w:rsid w:val="0061778C"/>
    <w:rsid w:val="00617BF5"/>
    <w:rsid w:val="0063469C"/>
    <w:rsid w:val="0063471A"/>
    <w:rsid w:val="00636B90"/>
    <w:rsid w:val="0064738B"/>
    <w:rsid w:val="00647EB2"/>
    <w:rsid w:val="006508EA"/>
    <w:rsid w:val="006525E0"/>
    <w:rsid w:val="006562E4"/>
    <w:rsid w:val="00667E86"/>
    <w:rsid w:val="00675199"/>
    <w:rsid w:val="006753F6"/>
    <w:rsid w:val="006754A0"/>
    <w:rsid w:val="0068392D"/>
    <w:rsid w:val="00697DB5"/>
    <w:rsid w:val="006A1B33"/>
    <w:rsid w:val="006A492A"/>
    <w:rsid w:val="006B5C72"/>
    <w:rsid w:val="006B7C5A"/>
    <w:rsid w:val="006C1AB0"/>
    <w:rsid w:val="006C289D"/>
    <w:rsid w:val="006C4CD5"/>
    <w:rsid w:val="006D0310"/>
    <w:rsid w:val="006D2009"/>
    <w:rsid w:val="006D5576"/>
    <w:rsid w:val="006E766D"/>
    <w:rsid w:val="006F4B29"/>
    <w:rsid w:val="006F6CE9"/>
    <w:rsid w:val="007044F1"/>
    <w:rsid w:val="0070517C"/>
    <w:rsid w:val="00705C9F"/>
    <w:rsid w:val="00716951"/>
    <w:rsid w:val="00720249"/>
    <w:rsid w:val="00720F6B"/>
    <w:rsid w:val="00730ADA"/>
    <w:rsid w:val="00732C37"/>
    <w:rsid w:val="00734062"/>
    <w:rsid w:val="00735D9E"/>
    <w:rsid w:val="00745A09"/>
    <w:rsid w:val="00751EAF"/>
    <w:rsid w:val="0075268B"/>
    <w:rsid w:val="00754CF7"/>
    <w:rsid w:val="00757B0D"/>
    <w:rsid w:val="00761320"/>
    <w:rsid w:val="007615BA"/>
    <w:rsid w:val="007637AF"/>
    <w:rsid w:val="0076444E"/>
    <w:rsid w:val="007651B1"/>
    <w:rsid w:val="007666EB"/>
    <w:rsid w:val="00767156"/>
    <w:rsid w:val="00767CE1"/>
    <w:rsid w:val="00771A68"/>
    <w:rsid w:val="00773339"/>
    <w:rsid w:val="00773E9F"/>
    <w:rsid w:val="007744D2"/>
    <w:rsid w:val="00775981"/>
    <w:rsid w:val="00776341"/>
    <w:rsid w:val="00784300"/>
    <w:rsid w:val="00786136"/>
    <w:rsid w:val="007A3438"/>
    <w:rsid w:val="007A6F6B"/>
    <w:rsid w:val="007B05CF"/>
    <w:rsid w:val="007C212A"/>
    <w:rsid w:val="007C2A7F"/>
    <w:rsid w:val="007C2E1B"/>
    <w:rsid w:val="007C4D04"/>
    <w:rsid w:val="007C53F5"/>
    <w:rsid w:val="007D58F8"/>
    <w:rsid w:val="007D5B3C"/>
    <w:rsid w:val="007E7D21"/>
    <w:rsid w:val="007E7DBD"/>
    <w:rsid w:val="007F482F"/>
    <w:rsid w:val="007F6ABE"/>
    <w:rsid w:val="007F7C94"/>
    <w:rsid w:val="00802016"/>
    <w:rsid w:val="0080398D"/>
    <w:rsid w:val="00805174"/>
    <w:rsid w:val="00806385"/>
    <w:rsid w:val="0080742E"/>
    <w:rsid w:val="00807CC5"/>
    <w:rsid w:val="00807ED7"/>
    <w:rsid w:val="0081312A"/>
    <w:rsid w:val="00813626"/>
    <w:rsid w:val="00814CC6"/>
    <w:rsid w:val="0082224C"/>
    <w:rsid w:val="008225D8"/>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76F1D"/>
    <w:rsid w:val="0088163A"/>
    <w:rsid w:val="00893376"/>
    <w:rsid w:val="0089601F"/>
    <w:rsid w:val="00896428"/>
    <w:rsid w:val="008969C5"/>
    <w:rsid w:val="008970B8"/>
    <w:rsid w:val="008A5623"/>
    <w:rsid w:val="008A7313"/>
    <w:rsid w:val="008A7D91"/>
    <w:rsid w:val="008B7FC7"/>
    <w:rsid w:val="008C104D"/>
    <w:rsid w:val="008C4337"/>
    <w:rsid w:val="008C4F06"/>
    <w:rsid w:val="008D0C90"/>
    <w:rsid w:val="008E1E4A"/>
    <w:rsid w:val="008F0615"/>
    <w:rsid w:val="008F103E"/>
    <w:rsid w:val="008F1FDB"/>
    <w:rsid w:val="008F36FB"/>
    <w:rsid w:val="008F3ECD"/>
    <w:rsid w:val="00902EA9"/>
    <w:rsid w:val="0090427F"/>
    <w:rsid w:val="0091207A"/>
    <w:rsid w:val="00920506"/>
    <w:rsid w:val="00931DEB"/>
    <w:rsid w:val="00933957"/>
    <w:rsid w:val="009356FA"/>
    <w:rsid w:val="00942A77"/>
    <w:rsid w:val="0094603B"/>
    <w:rsid w:val="009504A1"/>
    <w:rsid w:val="00950605"/>
    <w:rsid w:val="00952233"/>
    <w:rsid w:val="009534C6"/>
    <w:rsid w:val="00954D66"/>
    <w:rsid w:val="00963F8F"/>
    <w:rsid w:val="0096537C"/>
    <w:rsid w:val="00973C62"/>
    <w:rsid w:val="00975D76"/>
    <w:rsid w:val="00982DF3"/>
    <w:rsid w:val="00982E51"/>
    <w:rsid w:val="0098455E"/>
    <w:rsid w:val="0098504E"/>
    <w:rsid w:val="009874B9"/>
    <w:rsid w:val="00993581"/>
    <w:rsid w:val="009A288C"/>
    <w:rsid w:val="009A56F5"/>
    <w:rsid w:val="009A64C1"/>
    <w:rsid w:val="009B6697"/>
    <w:rsid w:val="009C17BF"/>
    <w:rsid w:val="009C192E"/>
    <w:rsid w:val="009C2B43"/>
    <w:rsid w:val="009C2EA4"/>
    <w:rsid w:val="009C4C04"/>
    <w:rsid w:val="009D5213"/>
    <w:rsid w:val="009D5483"/>
    <w:rsid w:val="009E1C95"/>
    <w:rsid w:val="009F196A"/>
    <w:rsid w:val="009F669B"/>
    <w:rsid w:val="009F7566"/>
    <w:rsid w:val="009F7F18"/>
    <w:rsid w:val="00A02A72"/>
    <w:rsid w:val="00A0433F"/>
    <w:rsid w:val="00A056B0"/>
    <w:rsid w:val="00A06BFE"/>
    <w:rsid w:val="00A10F5D"/>
    <w:rsid w:val="00A1199A"/>
    <w:rsid w:val="00A1243C"/>
    <w:rsid w:val="00A135AE"/>
    <w:rsid w:val="00A14AF1"/>
    <w:rsid w:val="00A16891"/>
    <w:rsid w:val="00A17D25"/>
    <w:rsid w:val="00A209A5"/>
    <w:rsid w:val="00A268CE"/>
    <w:rsid w:val="00A32BE4"/>
    <w:rsid w:val="00A332E8"/>
    <w:rsid w:val="00A35AF5"/>
    <w:rsid w:val="00A35DDF"/>
    <w:rsid w:val="00A36CBA"/>
    <w:rsid w:val="00A40CF0"/>
    <w:rsid w:val="00A424BC"/>
    <w:rsid w:val="00A432CD"/>
    <w:rsid w:val="00A45741"/>
    <w:rsid w:val="00A46F49"/>
    <w:rsid w:val="00A47C2D"/>
    <w:rsid w:val="00A47EF6"/>
    <w:rsid w:val="00A50291"/>
    <w:rsid w:val="00A530E4"/>
    <w:rsid w:val="00A604CD"/>
    <w:rsid w:val="00A609E0"/>
    <w:rsid w:val="00A60FE6"/>
    <w:rsid w:val="00A622F5"/>
    <w:rsid w:val="00A654BE"/>
    <w:rsid w:val="00A66DD6"/>
    <w:rsid w:val="00A72B11"/>
    <w:rsid w:val="00A73064"/>
    <w:rsid w:val="00A75018"/>
    <w:rsid w:val="00A75555"/>
    <w:rsid w:val="00A771FD"/>
    <w:rsid w:val="00A80767"/>
    <w:rsid w:val="00A81C90"/>
    <w:rsid w:val="00A84B75"/>
    <w:rsid w:val="00A84E44"/>
    <w:rsid w:val="00A850AB"/>
    <w:rsid w:val="00A874EF"/>
    <w:rsid w:val="00A947FB"/>
    <w:rsid w:val="00A95415"/>
    <w:rsid w:val="00A965DA"/>
    <w:rsid w:val="00A975AD"/>
    <w:rsid w:val="00AA3C89"/>
    <w:rsid w:val="00AA71EA"/>
    <w:rsid w:val="00AB1565"/>
    <w:rsid w:val="00AB32BD"/>
    <w:rsid w:val="00AB4723"/>
    <w:rsid w:val="00AB6745"/>
    <w:rsid w:val="00AC4CDB"/>
    <w:rsid w:val="00AC4DE2"/>
    <w:rsid w:val="00AC70FE"/>
    <w:rsid w:val="00AD3AA3"/>
    <w:rsid w:val="00AD4358"/>
    <w:rsid w:val="00AF61E1"/>
    <w:rsid w:val="00AF638A"/>
    <w:rsid w:val="00B00141"/>
    <w:rsid w:val="00B009AA"/>
    <w:rsid w:val="00B00ECE"/>
    <w:rsid w:val="00B0176E"/>
    <w:rsid w:val="00B030C8"/>
    <w:rsid w:val="00B039C0"/>
    <w:rsid w:val="00B03A09"/>
    <w:rsid w:val="00B056E7"/>
    <w:rsid w:val="00B05B71"/>
    <w:rsid w:val="00B10035"/>
    <w:rsid w:val="00B15C76"/>
    <w:rsid w:val="00B165E6"/>
    <w:rsid w:val="00B235DB"/>
    <w:rsid w:val="00B30210"/>
    <w:rsid w:val="00B424D9"/>
    <w:rsid w:val="00B42C55"/>
    <w:rsid w:val="00B4457C"/>
    <w:rsid w:val="00B447C0"/>
    <w:rsid w:val="00B45FC1"/>
    <w:rsid w:val="00B47B5C"/>
    <w:rsid w:val="00B52510"/>
    <w:rsid w:val="00B53E53"/>
    <w:rsid w:val="00B548A2"/>
    <w:rsid w:val="00B56934"/>
    <w:rsid w:val="00B62F03"/>
    <w:rsid w:val="00B72444"/>
    <w:rsid w:val="00B878DF"/>
    <w:rsid w:val="00B90C49"/>
    <w:rsid w:val="00B93B62"/>
    <w:rsid w:val="00B953D1"/>
    <w:rsid w:val="00B96D93"/>
    <w:rsid w:val="00BA30D0"/>
    <w:rsid w:val="00BA4856"/>
    <w:rsid w:val="00BB0D32"/>
    <w:rsid w:val="00BC09FB"/>
    <w:rsid w:val="00BC133C"/>
    <w:rsid w:val="00BC27DC"/>
    <w:rsid w:val="00BC76B5"/>
    <w:rsid w:val="00BD33DA"/>
    <w:rsid w:val="00BD514E"/>
    <w:rsid w:val="00BD5420"/>
    <w:rsid w:val="00BF3EFC"/>
    <w:rsid w:val="00BF5191"/>
    <w:rsid w:val="00C00E5E"/>
    <w:rsid w:val="00C04BD2"/>
    <w:rsid w:val="00C13A34"/>
    <w:rsid w:val="00C13EEC"/>
    <w:rsid w:val="00C14689"/>
    <w:rsid w:val="00C156A4"/>
    <w:rsid w:val="00C20FAA"/>
    <w:rsid w:val="00C23509"/>
    <w:rsid w:val="00C2459D"/>
    <w:rsid w:val="00C2755A"/>
    <w:rsid w:val="00C316F1"/>
    <w:rsid w:val="00C372DF"/>
    <w:rsid w:val="00C42C95"/>
    <w:rsid w:val="00C4470F"/>
    <w:rsid w:val="00C455B6"/>
    <w:rsid w:val="00C50727"/>
    <w:rsid w:val="00C55E5B"/>
    <w:rsid w:val="00C62739"/>
    <w:rsid w:val="00C673F1"/>
    <w:rsid w:val="00C720A4"/>
    <w:rsid w:val="00C74F59"/>
    <w:rsid w:val="00C7611C"/>
    <w:rsid w:val="00C80F80"/>
    <w:rsid w:val="00C94097"/>
    <w:rsid w:val="00C97C42"/>
    <w:rsid w:val="00CA4269"/>
    <w:rsid w:val="00CA48CA"/>
    <w:rsid w:val="00CA7330"/>
    <w:rsid w:val="00CB1C84"/>
    <w:rsid w:val="00CB5363"/>
    <w:rsid w:val="00CB64F0"/>
    <w:rsid w:val="00CC04A5"/>
    <w:rsid w:val="00CC2909"/>
    <w:rsid w:val="00CD0549"/>
    <w:rsid w:val="00CD365E"/>
    <w:rsid w:val="00CE6B3C"/>
    <w:rsid w:val="00CE6B78"/>
    <w:rsid w:val="00CF68C8"/>
    <w:rsid w:val="00D05E6F"/>
    <w:rsid w:val="00D16766"/>
    <w:rsid w:val="00D20296"/>
    <w:rsid w:val="00D2231A"/>
    <w:rsid w:val="00D23726"/>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2188"/>
    <w:rsid w:val="00D84885"/>
    <w:rsid w:val="00D8517B"/>
    <w:rsid w:val="00D85E28"/>
    <w:rsid w:val="00D873EB"/>
    <w:rsid w:val="00D91DFA"/>
    <w:rsid w:val="00DA0E5A"/>
    <w:rsid w:val="00DA159A"/>
    <w:rsid w:val="00DB1AB2"/>
    <w:rsid w:val="00DC17C2"/>
    <w:rsid w:val="00DC4FDF"/>
    <w:rsid w:val="00DC66F0"/>
    <w:rsid w:val="00DD1DCB"/>
    <w:rsid w:val="00DD3105"/>
    <w:rsid w:val="00DD3A65"/>
    <w:rsid w:val="00DD56C8"/>
    <w:rsid w:val="00DD62C6"/>
    <w:rsid w:val="00DE29F4"/>
    <w:rsid w:val="00DE3B92"/>
    <w:rsid w:val="00DE48B4"/>
    <w:rsid w:val="00DE5ACA"/>
    <w:rsid w:val="00DE7137"/>
    <w:rsid w:val="00DF18E4"/>
    <w:rsid w:val="00E00080"/>
    <w:rsid w:val="00E00498"/>
    <w:rsid w:val="00E1464C"/>
    <w:rsid w:val="00E14ADB"/>
    <w:rsid w:val="00E22F78"/>
    <w:rsid w:val="00E2425D"/>
    <w:rsid w:val="00E24F87"/>
    <w:rsid w:val="00E2603D"/>
    <w:rsid w:val="00E2617A"/>
    <w:rsid w:val="00E273FB"/>
    <w:rsid w:val="00E31CD4"/>
    <w:rsid w:val="00E5125F"/>
    <w:rsid w:val="00E538E6"/>
    <w:rsid w:val="00E56696"/>
    <w:rsid w:val="00E674D5"/>
    <w:rsid w:val="00E74332"/>
    <w:rsid w:val="00E75923"/>
    <w:rsid w:val="00E768A9"/>
    <w:rsid w:val="00E77399"/>
    <w:rsid w:val="00E802A2"/>
    <w:rsid w:val="00E8410F"/>
    <w:rsid w:val="00E85C0B"/>
    <w:rsid w:val="00EA1675"/>
    <w:rsid w:val="00EA3DAB"/>
    <w:rsid w:val="00EA7089"/>
    <w:rsid w:val="00EB0ADE"/>
    <w:rsid w:val="00EB13D7"/>
    <w:rsid w:val="00EB1E83"/>
    <w:rsid w:val="00EC03C3"/>
    <w:rsid w:val="00EC1C04"/>
    <w:rsid w:val="00EC25D8"/>
    <w:rsid w:val="00EC5C9B"/>
    <w:rsid w:val="00ED22CB"/>
    <w:rsid w:val="00ED36A5"/>
    <w:rsid w:val="00ED4BB1"/>
    <w:rsid w:val="00ED67AF"/>
    <w:rsid w:val="00EE062E"/>
    <w:rsid w:val="00EE11F0"/>
    <w:rsid w:val="00EE128C"/>
    <w:rsid w:val="00EE4C48"/>
    <w:rsid w:val="00EE5D2E"/>
    <w:rsid w:val="00EE7E6F"/>
    <w:rsid w:val="00EF66D9"/>
    <w:rsid w:val="00EF68E3"/>
    <w:rsid w:val="00EF6BA5"/>
    <w:rsid w:val="00EF780D"/>
    <w:rsid w:val="00EF782A"/>
    <w:rsid w:val="00EF7A98"/>
    <w:rsid w:val="00F0267E"/>
    <w:rsid w:val="00F06CA3"/>
    <w:rsid w:val="00F071B2"/>
    <w:rsid w:val="00F11B47"/>
    <w:rsid w:val="00F148F9"/>
    <w:rsid w:val="00F2412D"/>
    <w:rsid w:val="00F25D8D"/>
    <w:rsid w:val="00F3069C"/>
    <w:rsid w:val="00F3603E"/>
    <w:rsid w:val="00F40EBA"/>
    <w:rsid w:val="00F44CCB"/>
    <w:rsid w:val="00F44D0B"/>
    <w:rsid w:val="00F45819"/>
    <w:rsid w:val="00F474C9"/>
    <w:rsid w:val="00F5126B"/>
    <w:rsid w:val="00F54EA3"/>
    <w:rsid w:val="00F60102"/>
    <w:rsid w:val="00F61675"/>
    <w:rsid w:val="00F6686B"/>
    <w:rsid w:val="00F67F74"/>
    <w:rsid w:val="00F712B3"/>
    <w:rsid w:val="00F71E9F"/>
    <w:rsid w:val="00F73DE3"/>
    <w:rsid w:val="00F744BF"/>
    <w:rsid w:val="00F7632C"/>
    <w:rsid w:val="00F77219"/>
    <w:rsid w:val="00F84DD2"/>
    <w:rsid w:val="00F95439"/>
    <w:rsid w:val="00FA09CB"/>
    <w:rsid w:val="00FA7416"/>
    <w:rsid w:val="00FA7D05"/>
    <w:rsid w:val="00FB0872"/>
    <w:rsid w:val="00FB54CC"/>
    <w:rsid w:val="00FC62FB"/>
    <w:rsid w:val="00FC6529"/>
    <w:rsid w:val="00FC6BFE"/>
    <w:rsid w:val="00FD1A37"/>
    <w:rsid w:val="00FD4E5B"/>
    <w:rsid w:val="00FD6F4A"/>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29178"/>
  <w15:docId w15:val="{82A3B924-1997-452F-8DBC-FF1E1BF1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3A2EDE"/>
    <w:pPr>
      <w:ind w:left="720"/>
      <w:contextualSpacing/>
    </w:pPr>
  </w:style>
  <w:style w:type="paragraph" w:styleId="Revision">
    <w:name w:val="Revision"/>
    <w:hidden/>
    <w:semiHidden/>
    <w:rsid w:val="00B45FC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viewer/55063/76" TargetMode="External"/><Relationship Id="rId18" Type="http://schemas.openxmlformats.org/officeDocument/2006/relationships/hyperlink" Target="https://library.wmo.int/viewer/57465/?offset=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idviewer/69109/24" TargetMode="External"/><Relationship Id="rId7" Type="http://schemas.openxmlformats.org/officeDocument/2006/relationships/settings" Target="settings.xml"/><Relationship Id="rId12" Type="http://schemas.openxmlformats.org/officeDocument/2006/relationships/hyperlink" Target="https://library.wmo.int/viewer/57850?medianame=1281_en_" TargetMode="External"/><Relationship Id="rId17" Type="http://schemas.openxmlformats.org/officeDocument/2006/relationships/hyperlink" Target="https://meetings.wmo.int/ra-4-19/InformationDocuments/Forms/AllItems.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records/item/55696-guide-to-the-wmo-integrated-global-observing-system?offset=5" TargetMode="External"/><Relationship Id="rId20" Type="http://schemas.openxmlformats.org/officeDocument/2006/relationships/hyperlink" Target="https://meetings.wmo.int/ra-4-19/_layouts/15/WopiFrame.aspx?sourcedoc=%7b22FC319F-AA69-4EAA-8D71-C0D1756955EF%7d&amp;file=RA-IV-19(I)-d04-3-REGIONAL-WORK-PROGRAMME-FOR-2024-2027-draft1_en.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idviewer/55063/76" TargetMode="External"/><Relationship Id="rId23" Type="http://schemas.openxmlformats.org/officeDocument/2006/relationships/hyperlink" Target="https://library.wmo.int/viewer/57465/?offset=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viewer/57465/?offse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55063-manual-on-the-wmo-integrated-global-observing-system?offset=2" TargetMode="External"/><Relationship Id="rId22" Type="http://schemas.openxmlformats.org/officeDocument/2006/relationships/hyperlink" Target="https://library.wmo.int/viewer/57465/?offset=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D53D7E8C0F614F97AA787617C9E865" ma:contentTypeVersion="" ma:contentTypeDescription="Create a new document." ma:contentTypeScope="" ma:versionID="ed464436c0078d7683ececef3932e9b4">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FC146-CCBE-44D5-A01B-C64F62F9BF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287FD12-16B3-46C8-81C2-160FE25C6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343af-28c4-4431-8b96-d735d539f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1479</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9595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Federico GÓMEZ-DELGADO</dc:creator>
  <cp:lastModifiedBy>Zulkarnain</cp:lastModifiedBy>
  <cp:revision>4</cp:revision>
  <cp:lastPrinted>2013-03-12T09:27:00Z</cp:lastPrinted>
  <dcterms:created xsi:type="dcterms:W3CDTF">2025-04-28T08:04:00Z</dcterms:created>
  <dcterms:modified xsi:type="dcterms:W3CDTF">2025-05-01T09:29:00Z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0x010100EDD53D7E8C0F614F97AA787617C9E865</vt:lpwstr>
  </property>
  <property fmtid="{D5CDD505-2E9C-101B-9397-08002B2CF9AE}" pid="3" name="MediaServiceImageTags">
    <vt:lpwstr/>
  </property>
</Properties>
</file>