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F9D5" w14:textId="4CF285C8" w:rsidR="00C56F09" w:rsidRPr="00C56F09" w:rsidRDefault="611BBCDB" w:rsidP="6CF5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6CF54219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Marine Weather </w:t>
      </w:r>
      <w:r w:rsidR="00C56F09" w:rsidRPr="6CF54219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Forecaster Performance Criteri</w:t>
      </w:r>
      <w:r w:rsidR="0083799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a</w:t>
      </w:r>
      <w:r w:rsidR="00C56F09" w:rsidRPr="6CF54219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 </w:t>
      </w:r>
      <w:r w:rsidR="008440C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2.2</w:t>
      </w:r>
      <w:r w:rsidR="00D81F6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: Direct Observation</w:t>
      </w:r>
    </w:p>
    <w:p w14:paraId="5EFF5EC8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1383FCDF" w14:textId="15249014" w:rsidR="0083799B" w:rsidRDefault="00C20A6B" w:rsidP="00C20A6B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</w:pPr>
      <w:r w:rsidRPr="00C20A6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C</w:t>
      </w:r>
      <w:r w:rsidR="00CF26D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2</w:t>
      </w:r>
      <w:r w:rsidRPr="00C20A6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.</w:t>
      </w:r>
      <w:r w:rsidR="00CF26D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2</w:t>
      </w:r>
      <w:r w:rsidR="00CF26D6" w:rsidRPr="00CF26D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 Prepare forecast for weather phenomena, parameters and variables including spatial extent, onset and cessation, duration, </w:t>
      </w:r>
      <w:proofErr w:type="gramStart"/>
      <w:r w:rsidR="00CF26D6" w:rsidRPr="00CF26D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intensity</w:t>
      </w:r>
      <w:proofErr w:type="gramEnd"/>
      <w:r w:rsidR="00CF26D6" w:rsidRPr="00CF26D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 and temporal variations, where applicable</w:t>
      </w:r>
    </w:p>
    <w:p w14:paraId="1839555C" w14:textId="3DFDCBDA" w:rsidR="00C56F09" w:rsidRPr="00C56F09" w:rsidRDefault="00C56F09" w:rsidP="00C20A6B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r w:rsidRPr="00C56F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Performance </w:t>
      </w:r>
      <w:r w:rsidR="006B62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</w:t>
      </w:r>
      <w:r w:rsidRPr="00C56F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riterion </w:t>
      </w:r>
      <w:r w:rsidR="006B62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comments</w:t>
      </w:r>
      <w:r w:rsidRPr="00C56F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:</w:t>
      </w:r>
    </w:p>
    <w:p w14:paraId="0A3F2ED9" w14:textId="04A2A091" w:rsidR="0083799B" w:rsidRPr="00C56F09" w:rsidRDefault="00CF26D6" w:rsidP="008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must apply meteorological knowledge to forecast weather phenomena, parameters and variables that are relevant to marine weather customers, including for high seas and coasts</w:t>
      </w:r>
      <w:r w:rsidR="0083799B"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. </w:t>
      </w:r>
    </w:p>
    <w:p w14:paraId="28063AB1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12065C90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Scenario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</w:t>
      </w:r>
    </w:p>
    <w:p w14:paraId="1919C600" w14:textId="6CD93765" w:rsidR="00C56F09" w:rsidRDefault="006B62D4" w:rsidP="72C36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During an assessment period,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for example, one or </w:t>
      </w:r>
      <w:r w:rsidR="00D81F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more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forecast shifts, </w:t>
      </w:r>
      <w:r w:rsidRPr="6CF542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the forecaster is asked to analyse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and diagnose </w:t>
      </w:r>
      <w:r w:rsidRPr="6CF542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the weather situation, considering synoptic</w:t>
      </w:r>
      <w:r w:rsidR="008234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, </w:t>
      </w:r>
      <w:proofErr w:type="gramStart"/>
      <w:r w:rsidR="008234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mesoscale</w:t>
      </w:r>
      <w:proofErr w:type="gramEnd"/>
      <w:r w:rsidR="008234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and local</w:t>
      </w:r>
      <w:r w:rsidRPr="6CF542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features. 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In particular, the f</w:t>
      </w:r>
      <w:r w:rsidR="00C56F09" w:rsidRPr="72C36B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orecaster analyses weather parameters and features significant to </w:t>
      </w:r>
      <w:r w:rsidR="386FE408" w:rsidRPr="72C36B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marine</w:t>
      </w:r>
      <w:r w:rsidR="00C56F09" w:rsidRPr="72C36B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meteorology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and marine </w:t>
      </w:r>
      <w:r w:rsidR="00854F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services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users</w:t>
      </w:r>
      <w:r w:rsidR="58F9339F" w:rsidRPr="72C36B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.</w:t>
      </w:r>
    </w:p>
    <w:p w14:paraId="1D0CD419" w14:textId="77777777" w:rsidR="006B62D4" w:rsidRDefault="006B62D4" w:rsidP="72C36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56250C08" w14:textId="6701B64C" w:rsidR="006B62D4" w:rsidRPr="00C56F09" w:rsidRDefault="00D81F64" w:rsidP="72C36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For direct observation C</w:t>
      </w:r>
      <w:r w:rsidR="00EC42C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.</w:t>
      </w:r>
      <w:r w:rsidR="00EC42C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, the forecaster can be asked to apply a “think-aloud” protocol to describe decisions </w:t>
      </w:r>
      <w:r w:rsidR="008234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about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data products viewed and judgements of the situation </w:t>
      </w:r>
      <w:r w:rsidR="008234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and its likely evolution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that can be made based on the data. </w:t>
      </w:r>
    </w:p>
    <w:p w14:paraId="474B5BE8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3111AFD2" w14:textId="62455701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Evidence</w:t>
      </w:r>
      <w:r w:rsidR="00D81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 xml:space="preserve"> of competency checklist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22204D0B" w14:textId="77777777" w:rsidR="00D81F64" w:rsidRDefault="00D81F64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0E92CB48" w14:textId="1927ACE3" w:rsidR="00C56F09" w:rsidRPr="00C547FE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H"/>
        </w:rPr>
      </w:pPr>
      <w:r w:rsidRPr="00C547FE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CH"/>
        </w:rPr>
        <w:t>The forecaster utilizes available data such as</w:t>
      </w:r>
    </w:p>
    <w:p w14:paraId="308D4147" w14:textId="77777777" w:rsidR="00C56F09" w:rsidRPr="00C56F09" w:rsidRDefault="00C56F09" w:rsidP="018FC1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surface data</w:t>
      </w:r>
    </w:p>
    <w:p w14:paraId="360E1C82" w14:textId="0DC830D1" w:rsidR="00C56F09" w:rsidRPr="00C56F09" w:rsidRDefault="009F6263" w:rsidP="6CF54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in-situ </w:t>
      </w:r>
      <w:r w:rsidR="00D81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</w:t>
      </w:r>
      <w:r w:rsidR="398CC8B8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cean observation</w:t>
      </w:r>
      <w:r w:rsidR="00D81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</w:p>
    <w:p w14:paraId="5668674A" w14:textId="693C6D3F" w:rsidR="00C56F09" w:rsidRPr="00C56F09" w:rsidRDefault="00D81F64" w:rsidP="00C56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NWP</w:t>
      </w:r>
      <w:r w:rsidR="00C56F09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analyses</w:t>
      </w:r>
      <w:r w:rsidR="00823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and forecasts</w:t>
      </w:r>
    </w:p>
    <w:p w14:paraId="7E4F6755" w14:textId="77777777" w:rsidR="00C56F09" w:rsidRPr="00C56F09" w:rsidRDefault="00C56F09" w:rsidP="018FC1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remote sensed data</w:t>
      </w:r>
    </w:p>
    <w:p w14:paraId="01DAA1A9" w14:textId="57F094C6" w:rsidR="004D4605" w:rsidRDefault="00D81F64" w:rsidP="018FC1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</w:t>
      </w:r>
      <w:r w:rsidR="004D4605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adar imagery</w:t>
      </w:r>
    </w:p>
    <w:p w14:paraId="0393E1B0" w14:textId="4206C722" w:rsidR="162905B4" w:rsidRDefault="00D81F64" w:rsidP="018FC1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</w:t>
      </w:r>
      <w:r w:rsidR="162905B4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charts</w:t>
      </w:r>
    </w:p>
    <w:p w14:paraId="3A57C33F" w14:textId="06C85808" w:rsidR="003058D9" w:rsidRDefault="003058D9" w:rsidP="018FC1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other available data</w:t>
      </w:r>
    </w:p>
    <w:p w14:paraId="62189837" w14:textId="5C43EAC6" w:rsidR="003058D9" w:rsidRDefault="003058D9" w:rsidP="018FC1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advisories issued by other meteorological services and regional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centers</w:t>
      </w:r>
      <w:proofErr w:type="spellEnd"/>
      <w:proofErr w:type="gramEnd"/>
    </w:p>
    <w:p w14:paraId="70FCDC02" w14:textId="77777777" w:rsidR="009F6263" w:rsidRDefault="009F6263" w:rsidP="6CF542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69844341" w14:textId="540578EC" w:rsidR="00C56F09" w:rsidRPr="00C56F09" w:rsidRDefault="00C56F09" w:rsidP="6CF5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t</w:t>
      </w:r>
      <w:r w:rsidRPr="00C54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o construct a comprehensive analysis of</w:t>
      </w:r>
    </w:p>
    <w:p w14:paraId="1214FD84" w14:textId="77777777" w:rsidR="00C56F09" w:rsidRPr="00A5389C" w:rsidRDefault="00C56F09" w:rsidP="00C56F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precipitation</w:t>
      </w:r>
    </w:p>
    <w:p w14:paraId="6ACB9FBB" w14:textId="782233F3" w:rsidR="00A5389C" w:rsidRPr="00C56F09" w:rsidRDefault="00A5389C" w:rsidP="00C56F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convection potential</w:t>
      </w:r>
    </w:p>
    <w:p w14:paraId="4A4E6FD1" w14:textId="77777777" w:rsidR="00C56F09" w:rsidRPr="00C56F09" w:rsidRDefault="00C56F09" w:rsidP="00C56F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restrictions to visibility</w:t>
      </w:r>
    </w:p>
    <w:p w14:paraId="3E248DFA" w14:textId="2AED2322" w:rsidR="00C56F09" w:rsidRPr="00C56F09" w:rsidRDefault="00C56F09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surface winds</w:t>
      </w:r>
      <w:r w:rsidR="2961210E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, including area</w:t>
      </w:r>
      <w:r w:rsid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  <w:r w:rsidR="2961210E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of strong </w:t>
      </w:r>
      <w:proofErr w:type="gramStart"/>
      <w:r w:rsidR="2961210E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wind</w:t>
      </w:r>
      <w:r w:rsid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  <w:proofErr w:type="gramEnd"/>
    </w:p>
    <w:p w14:paraId="6C24C091" w14:textId="1197EA84" w:rsidR="00C56F09" w:rsidRPr="00C56F09" w:rsidRDefault="00C56F09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areas of significant weather</w:t>
      </w:r>
    </w:p>
    <w:p w14:paraId="58FC6E97" w14:textId="711D232E" w:rsidR="00C56F09" w:rsidRPr="004431FF" w:rsidRDefault="00C56F09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synoptic features</w:t>
      </w:r>
      <w:r w:rsid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,</w:t>
      </w: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including </w:t>
      </w:r>
      <w:r w:rsid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large-scale </w:t>
      </w:r>
      <w:proofErr w:type="gramStart"/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motion</w:t>
      </w:r>
      <w:proofErr w:type="gramEnd"/>
    </w:p>
    <w:p w14:paraId="42126C88" w14:textId="7D308313" w:rsidR="004431FF" w:rsidRPr="00C56F09" w:rsidRDefault="004431FF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boundary layer processes and evolution</w:t>
      </w:r>
    </w:p>
    <w:p w14:paraId="7CC0EA79" w14:textId="457EB180" w:rsidR="6BE8B343" w:rsidRDefault="009F6263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sea s</w:t>
      </w:r>
      <w:r w:rsidR="6BE8B343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tate</w:t>
      </w:r>
    </w:p>
    <w:p w14:paraId="2C2A431D" w14:textId="53AC31D9" w:rsidR="666623E4" w:rsidRDefault="009F6263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666623E4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nteraction</w:t>
      </w:r>
      <w:r w:rsidRP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666623E4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666623E4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tide and river run-off, especially </w:t>
      </w:r>
      <w:r w:rsidR="744F00E5"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near the coast</w:t>
      </w:r>
    </w:p>
    <w:p w14:paraId="6020943E" w14:textId="0F4169C3" w:rsidR="00A94598" w:rsidRDefault="00A94598" w:rsidP="018FC1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/>
        </w:rPr>
        <w:lastRenderedPageBreak/>
        <w:t>other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/>
        </w:rPr>
        <w:t xml:space="preserve"> pertinent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/>
        </w:rPr>
        <w:t>features</w:t>
      </w:r>
      <w:proofErr w:type="spellEnd"/>
    </w:p>
    <w:p w14:paraId="11F63600" w14:textId="77777777" w:rsidR="00A94598" w:rsidRDefault="00A94598" w:rsidP="00A945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7C3D9B" w14:textId="70D43E90" w:rsidR="00A94598" w:rsidRPr="00C547FE" w:rsidRDefault="00A94598" w:rsidP="00A94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H"/>
        </w:rPr>
      </w:pPr>
      <w:r w:rsidRPr="00C547FE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CH"/>
        </w:rPr>
        <w:t>The forecaster uses meteorological knowledge to</w:t>
      </w:r>
    </w:p>
    <w:p w14:paraId="315F0887" w14:textId="77777777" w:rsidR="004431FF" w:rsidRPr="004431FF" w:rsidRDefault="00A94598" w:rsidP="00A945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determine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the most plausible meteorological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es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at work that would produce the observed weather </w:t>
      </w:r>
      <w:proofErr w:type="gramStart"/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conditions</w:t>
      </w:r>
      <w:proofErr w:type="gramEnd"/>
    </w:p>
    <w:p w14:paraId="4B544940" w14:textId="59C3F88F" w:rsidR="00A94598" w:rsidRPr="0019540E" w:rsidRDefault="004431FF" w:rsidP="00A945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H"/>
        </w:rPr>
        <w:t>consider</w:t>
      </w:r>
      <w:r w:rsidRPr="00443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H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H"/>
        </w:rPr>
        <w:t>limitations</w:t>
      </w:r>
      <w:r w:rsidRPr="00443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H"/>
        </w:rPr>
        <w:t xml:space="preserve"> of model fields and statistical </w:t>
      </w:r>
      <w:proofErr w:type="gramStart"/>
      <w:r w:rsidRPr="00443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H"/>
        </w:rPr>
        <w:t>guidance</w:t>
      </w:r>
      <w:proofErr w:type="gramEnd"/>
      <w:r w:rsidR="00A94598"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 </w:t>
      </w:r>
    </w:p>
    <w:p w14:paraId="7B8AE7A0" w14:textId="3BED8F6C" w:rsidR="00A94598" w:rsidRPr="0019540E" w:rsidRDefault="00A94598" w:rsidP="00A945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explain the meteorological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es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at </w:t>
      </w:r>
      <w:proofErr w:type="gramStart"/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work</w:t>
      </w:r>
      <w:proofErr w:type="gramEnd"/>
    </w:p>
    <w:p w14:paraId="1AE4DAFD" w14:textId="3B54941A" w:rsidR="00A94598" w:rsidRPr="0019540E" w:rsidRDefault="00A94598" w:rsidP="00A945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explain how the observed weather </w:t>
      </w:r>
      <w:r w:rsidR="0081243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phenomena, 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parameters </w:t>
      </w:r>
      <w:r w:rsidR="00812431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and variables 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support the diagnosis</w:t>
      </w:r>
      <w:r w:rsidR="0082341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of features impactful to marine weather information </w:t>
      </w:r>
      <w:proofErr w:type="gramStart"/>
      <w:r w:rsidR="0082341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users</w:t>
      </w:r>
      <w:proofErr w:type="gramEnd"/>
    </w:p>
    <w:p w14:paraId="7D84CF95" w14:textId="77777777" w:rsidR="00A94598" w:rsidRDefault="00A94598" w:rsidP="00A945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C5A539" w14:textId="0C53F95E" w:rsidR="00203045" w:rsidRDefault="008124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forecaster accurately forecasts</w:t>
      </w:r>
      <w:r w:rsidR="005D3DE5">
        <w:rPr>
          <w:rFonts w:ascii="Times New Roman" w:hAnsi="Times New Roman" w:cs="Times New Roman"/>
          <w:sz w:val="28"/>
          <w:szCs w:val="28"/>
          <w:lang w:val="en-US"/>
        </w:rPr>
        <w:t xml:space="preserve"> or warns for</w:t>
      </w:r>
    </w:p>
    <w:p w14:paraId="37CCD552" w14:textId="4819C6EF" w:rsidR="00812431" w:rsidRPr="004431FF" w:rsidRDefault="00812431" w:rsidP="0081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431FF">
        <w:rPr>
          <w:rFonts w:ascii="Times New Roman" w:hAnsi="Times New Roman" w:cs="Times New Roman"/>
          <w:sz w:val="24"/>
          <w:szCs w:val="24"/>
          <w:lang w:val="en-US"/>
        </w:rPr>
        <w:t>wind: speed, direction, gustiness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5C1AF0">
        <w:rPr>
          <w:rFonts w:ascii="Times New Roman" w:hAnsi="Times New Roman" w:cs="Times New Roman"/>
          <w:sz w:val="24"/>
          <w:szCs w:val="24"/>
          <w:lang w:val="en-US"/>
        </w:rPr>
        <w:t>distribution</w:t>
      </w:r>
      <w:proofErr w:type="gramEnd"/>
      <w:r w:rsidRPr="004431FF">
        <w:rPr>
          <w:rFonts w:ascii="Times New Roman" w:hAnsi="Times New Roman" w:cs="Times New Roman"/>
          <w:sz w:val="24"/>
          <w:szCs w:val="24"/>
          <w:lang w:val="en-US"/>
        </w:rPr>
        <w:t xml:space="preserve"> and variability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>, as well as associated sea state</w:t>
      </w:r>
    </w:p>
    <w:p w14:paraId="39514982" w14:textId="666CA240" w:rsidR="00812431" w:rsidRPr="004431FF" w:rsidRDefault="00812431" w:rsidP="0081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431FF">
        <w:rPr>
          <w:rFonts w:ascii="Times New Roman" w:hAnsi="Times New Roman" w:cs="Times New Roman"/>
          <w:sz w:val="24"/>
          <w:szCs w:val="24"/>
          <w:lang w:val="en-US"/>
        </w:rPr>
        <w:t xml:space="preserve">pressure: surface pressure variations across an area or at a location, including a deepening </w:t>
      </w:r>
      <w:proofErr w:type="gramStart"/>
      <w:r w:rsidRPr="004431FF">
        <w:rPr>
          <w:rFonts w:ascii="Times New Roman" w:hAnsi="Times New Roman" w:cs="Times New Roman"/>
          <w:sz w:val="24"/>
          <w:szCs w:val="24"/>
          <w:lang w:val="en-US"/>
        </w:rPr>
        <w:t>low pressure</w:t>
      </w:r>
      <w:proofErr w:type="gramEnd"/>
      <w:r w:rsidRPr="004431FF">
        <w:rPr>
          <w:rFonts w:ascii="Times New Roman" w:hAnsi="Times New Roman" w:cs="Times New Roman"/>
          <w:sz w:val="24"/>
          <w:szCs w:val="24"/>
          <w:lang w:val="en-US"/>
        </w:rPr>
        <w:t xml:space="preserve"> system or blocking high pressure system, and the movement of pressure systems </w:t>
      </w:r>
    </w:p>
    <w:p w14:paraId="46BCA22E" w14:textId="746DA698" w:rsidR="00812431" w:rsidRPr="004431FF" w:rsidRDefault="00F05386" w:rsidP="0081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431FF">
        <w:rPr>
          <w:rFonts w:ascii="Times New Roman" w:hAnsi="Times New Roman" w:cs="Times New Roman"/>
          <w:sz w:val="24"/>
          <w:szCs w:val="24"/>
          <w:lang w:val="en-US"/>
        </w:rPr>
        <w:t>precipitation and associated visibility: precipitation type, amount, rate, phase, impacts to visibility</w:t>
      </w:r>
      <w:r w:rsidR="00A5389C">
        <w:rPr>
          <w:rFonts w:ascii="Times New Roman" w:hAnsi="Times New Roman" w:cs="Times New Roman"/>
          <w:sz w:val="24"/>
          <w:szCs w:val="24"/>
          <w:lang w:val="en-US"/>
        </w:rPr>
        <w:t xml:space="preserve"> (including heavy precipitation and blowing snow)</w:t>
      </w:r>
      <w:r w:rsidR="00A41AE1">
        <w:rPr>
          <w:rFonts w:ascii="Times New Roman" w:hAnsi="Times New Roman" w:cs="Times New Roman"/>
          <w:sz w:val="24"/>
          <w:szCs w:val="24"/>
          <w:lang w:val="en-US"/>
        </w:rPr>
        <w:t xml:space="preserve">, freezing </w:t>
      </w:r>
      <w:proofErr w:type="gramStart"/>
      <w:r w:rsidR="00A41AE1">
        <w:rPr>
          <w:rFonts w:ascii="Times New Roman" w:hAnsi="Times New Roman" w:cs="Times New Roman"/>
          <w:sz w:val="24"/>
          <w:szCs w:val="24"/>
          <w:lang w:val="en-US"/>
        </w:rPr>
        <w:t>spray</w:t>
      </w:r>
      <w:proofErr w:type="gramEnd"/>
    </w:p>
    <w:p w14:paraId="74F6B900" w14:textId="7D246150" w:rsidR="00F05386" w:rsidRPr="004431FF" w:rsidRDefault="00F05386" w:rsidP="0081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431FF">
        <w:rPr>
          <w:rFonts w:ascii="Times New Roman" w:hAnsi="Times New Roman" w:cs="Times New Roman"/>
          <w:sz w:val="24"/>
          <w:szCs w:val="24"/>
          <w:lang w:val="en-US"/>
        </w:rPr>
        <w:t xml:space="preserve">visibility: surface </w:t>
      </w:r>
      <w:r w:rsidR="004431FF" w:rsidRPr="004431FF">
        <w:rPr>
          <w:rFonts w:ascii="Times New Roman" w:hAnsi="Times New Roman" w:cs="Times New Roman"/>
          <w:sz w:val="24"/>
          <w:szCs w:val="24"/>
          <w:lang w:val="en-US"/>
        </w:rPr>
        <w:t xml:space="preserve">visibility, fog formation and cessation, mist, smoke, volcanic ash, </w:t>
      </w:r>
      <w:r w:rsidR="00A5389C">
        <w:rPr>
          <w:rFonts w:ascii="Times New Roman" w:hAnsi="Times New Roman" w:cs="Times New Roman"/>
          <w:sz w:val="24"/>
          <w:szCs w:val="24"/>
          <w:lang w:val="en-US"/>
        </w:rPr>
        <w:t xml:space="preserve">dust, haze, sandstorms, </w:t>
      </w:r>
      <w:r w:rsidR="004431FF" w:rsidRPr="004431FF">
        <w:rPr>
          <w:rFonts w:ascii="Times New Roman" w:hAnsi="Times New Roman" w:cs="Times New Roman"/>
          <w:sz w:val="24"/>
          <w:szCs w:val="24"/>
          <w:lang w:val="en-US"/>
        </w:rPr>
        <w:t xml:space="preserve">climatology (seasonal and diurnal variations), impacts of low visibility to marine customers, obstructions to visibility near the </w:t>
      </w:r>
      <w:proofErr w:type="gramStart"/>
      <w:r w:rsidR="004431FF" w:rsidRPr="004431FF">
        <w:rPr>
          <w:rFonts w:ascii="Times New Roman" w:hAnsi="Times New Roman" w:cs="Times New Roman"/>
          <w:sz w:val="24"/>
          <w:szCs w:val="24"/>
          <w:lang w:val="en-US"/>
        </w:rPr>
        <w:t>coast</w:t>
      </w:r>
      <w:proofErr w:type="gramEnd"/>
    </w:p>
    <w:p w14:paraId="7291BEF1" w14:textId="0621D341" w:rsidR="00A5389C" w:rsidRDefault="004431FF" w:rsidP="0081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thunderstorms: </w:t>
      </w:r>
      <w:r w:rsidR="00A5389C">
        <w:rPr>
          <w:rFonts w:ascii="Times New Roman" w:hAnsi="Times New Roman" w:cs="Times New Roman"/>
          <w:sz w:val="24"/>
          <w:szCs w:val="24"/>
          <w:lang w:val="en-US"/>
        </w:rPr>
        <w:t xml:space="preserve">convective potential, development and motion of convective cells and systems, severity of convection and convective precipitation, risk of microbursts, hail, 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 xml:space="preserve">lightening, </w:t>
      </w:r>
      <w:r w:rsidR="00A41AE1">
        <w:rPr>
          <w:rFonts w:ascii="Times New Roman" w:hAnsi="Times New Roman" w:cs="Times New Roman"/>
          <w:sz w:val="24"/>
          <w:szCs w:val="24"/>
          <w:lang w:val="en-US"/>
        </w:rPr>
        <w:t xml:space="preserve">waterspouts, </w:t>
      </w:r>
      <w:r w:rsidR="00A5389C">
        <w:rPr>
          <w:rFonts w:ascii="Times New Roman" w:hAnsi="Times New Roman" w:cs="Times New Roman"/>
          <w:sz w:val="24"/>
          <w:szCs w:val="24"/>
          <w:lang w:val="en-US"/>
        </w:rPr>
        <w:t xml:space="preserve">convective </w:t>
      </w:r>
      <w:proofErr w:type="gramStart"/>
      <w:r w:rsidR="00A5389C">
        <w:rPr>
          <w:rFonts w:ascii="Times New Roman" w:hAnsi="Times New Roman" w:cs="Times New Roman"/>
          <w:sz w:val="24"/>
          <w:szCs w:val="24"/>
          <w:lang w:val="en-US"/>
        </w:rPr>
        <w:t>winds</w:t>
      </w:r>
      <w:proofErr w:type="gramEnd"/>
      <w:r w:rsidR="00A5389C">
        <w:rPr>
          <w:rFonts w:ascii="Times New Roman" w:hAnsi="Times New Roman" w:cs="Times New Roman"/>
          <w:sz w:val="24"/>
          <w:szCs w:val="24"/>
          <w:lang w:val="en-US"/>
        </w:rPr>
        <w:t xml:space="preserve"> or other convective hazards</w:t>
      </w:r>
    </w:p>
    <w:p w14:paraId="3068DC06" w14:textId="321AA84B" w:rsidR="00A5389C" w:rsidRPr="005C1AF0" w:rsidRDefault="00A5389C" w:rsidP="005C1A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 state: wave height/direction for particular time frame (particularly damaging large waves or swell), wave height/direction for a critical location of marine activities, wave period, impacts to wave development and motion due to coastal layout and bathymetry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 xml:space="preserve">, wave 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>impacts on locations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>, activities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5C1AF0">
        <w:rPr>
          <w:rFonts w:ascii="Times New Roman" w:hAnsi="Times New Roman" w:cs="Times New Roman"/>
          <w:sz w:val="24"/>
          <w:szCs w:val="24"/>
          <w:lang w:val="en-US"/>
        </w:rPr>
        <w:t>infrastructures</w:t>
      </w:r>
      <w:proofErr w:type="gramEnd"/>
    </w:p>
    <w:p w14:paraId="1747C7A4" w14:textId="5E84FDDD" w:rsidR="00A41AE1" w:rsidRDefault="00A41AE1" w:rsidP="00A41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tropical cyclones: predicted path, changing intensity, predicted impacts 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coasts</w:t>
      </w:r>
      <w:r w:rsidR="005C1AF0">
        <w:rPr>
          <w:rFonts w:ascii="Times New Roman" w:hAnsi="Times New Roman" w:cs="Times New Roman"/>
          <w:sz w:val="24"/>
          <w:szCs w:val="24"/>
          <w:lang w:val="en-US"/>
        </w:rPr>
        <w:t>, impacts of associated severe weather (winds, large waves, storm surge, precipitation, etc.)</w:t>
      </w:r>
    </w:p>
    <w:p w14:paraId="4ED51EEC" w14:textId="77777777" w:rsidR="00A41AE1" w:rsidRDefault="00A41AE1" w:rsidP="00A41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icing on vessels or structures</w:t>
      </w:r>
    </w:p>
    <w:p w14:paraId="198F4B47" w14:textId="77777777" w:rsidR="00A41AE1" w:rsidRDefault="00A41AE1" w:rsidP="00A41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 ice state and movement</w:t>
      </w:r>
    </w:p>
    <w:p w14:paraId="2246D406" w14:textId="240C18CC" w:rsidR="004431FF" w:rsidRPr="00A41AE1" w:rsidRDefault="00A41AE1" w:rsidP="00A41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other international and 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foreast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requirements, as listed under Regional Variations</w:t>
      </w:r>
      <w:r w:rsidR="00A5389C" w:rsidRPr="00A41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C312B9" w14:textId="77777777" w:rsidR="00812431" w:rsidRPr="00812431" w:rsidRDefault="008124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9D7E2B" w14:textId="77777777" w:rsidR="00812431" w:rsidRPr="00812431" w:rsidRDefault="0081243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16"/>
      </w:tblGrid>
      <w:tr w:rsidR="00203045" w14:paraId="2A3D6E3E" w14:textId="77777777" w:rsidTr="00203045">
        <w:tc>
          <w:tcPr>
            <w:tcW w:w="9016" w:type="dxa"/>
            <w:shd w:val="clear" w:color="auto" w:fill="B4C6E7" w:themeFill="accent1" w:themeFillTint="66"/>
          </w:tcPr>
          <w:p w14:paraId="04AD9B9D" w14:textId="6EB7CD10" w:rsidR="00337B7B" w:rsidRDefault="00203045" w:rsidP="00337B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Required background knowledge and skills as presented in WMO-No. 1209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additional consideration in the assessment:</w:t>
            </w:r>
          </w:p>
          <w:p w14:paraId="47F3EB6C" w14:textId="77777777" w:rsidR="00337B7B" w:rsidRPr="00337B7B" w:rsidRDefault="00337B7B" w:rsidP="00337B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774C1E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methods for predicting meteorological and oceanographic conditions, and their applications, including those required by the application regional variations;</w:t>
            </w:r>
          </w:p>
          <w:p w14:paraId="7EB0031F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Knowledge of forecasting models (deterministic models and EPS) including wave models;</w:t>
            </w:r>
          </w:p>
          <w:p w14:paraId="4174AF80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remote-sensing applications;</w:t>
            </w:r>
          </w:p>
          <w:p w14:paraId="347DA96D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forecast preparation systems (including use of software);</w:t>
            </w:r>
          </w:p>
          <w:p w14:paraId="53D991F7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local and regional areas of responsibility, in particular forecast boundaries and associated observation sites;</w:t>
            </w:r>
          </w:p>
          <w:p w14:paraId="5CC182A0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forecast issue times and work priorities;</w:t>
            </w:r>
          </w:p>
          <w:p w14:paraId="06BD226C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types and characteristics of wave and swell; generation and decay of wave and swell; and shallow water wave characteristics;</w:t>
            </w:r>
          </w:p>
          <w:p w14:paraId="20DE4B19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10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 xml:space="preserve">Knowledge of tropical cyclones, hurricanes and typhoons and their impact on marine </w:t>
            </w:r>
          </w:p>
          <w:p w14:paraId="0AF3CAF6" w14:textId="77777777" w:rsidR="00337B7B" w:rsidRPr="00337B7B" w:rsidRDefault="00337B7B" w:rsidP="00337B7B">
            <w:pPr>
              <w:ind w:left="490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activities;</w:t>
            </w:r>
          </w:p>
          <w:p w14:paraId="45BE00C8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Knowledge of sea and tidal currents, sea level (including storm surges and tsunami) and drifting of objects or pollutants;</w:t>
            </w:r>
          </w:p>
          <w:p w14:paraId="2530C217" w14:textId="77777777" w:rsidR="00337B7B" w:rsidRPr="00337B7B" w:rsidRDefault="00337B7B" w:rsidP="00337B7B">
            <w:pPr>
              <w:numPr>
                <w:ilvl w:val="0"/>
                <w:numId w:val="4"/>
              </w:numPr>
              <w:spacing w:after="229" w:line="248" w:lineRule="auto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The ability to forecast sea-ice extent, thickness, concentration, stage of development, drift, deformation, growth and melting;</w:t>
            </w:r>
          </w:p>
          <w:p w14:paraId="328EC58D" w14:textId="5EFA385A" w:rsidR="00203045" w:rsidRPr="00337B7B" w:rsidRDefault="00337B7B" w:rsidP="00337B7B">
            <w:pPr>
              <w:numPr>
                <w:ilvl w:val="0"/>
                <w:numId w:val="4"/>
              </w:numPr>
              <w:spacing w:after="706" w:line="248" w:lineRule="auto"/>
              <w:ind w:right="7" w:hanging="360"/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The ability to forecast icebergs and their movement, as required</w:t>
            </w:r>
          </w:p>
        </w:tc>
      </w:tr>
    </w:tbl>
    <w:p w14:paraId="0031C481" w14:textId="77777777" w:rsidR="00203045" w:rsidRDefault="002030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EC2915" w14:textId="77777777" w:rsidR="00203045" w:rsidRDefault="002030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B2C942" w14:textId="77777777" w:rsidR="00C547FE" w:rsidRPr="00C547FE" w:rsidRDefault="00C547FE"/>
    <w:sectPr w:rsidR="00C547FE" w:rsidRPr="00C54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403CE"/>
    <w:multiLevelType w:val="multilevel"/>
    <w:tmpl w:val="55C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CE150F"/>
    <w:multiLevelType w:val="multilevel"/>
    <w:tmpl w:val="3D4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24C5F"/>
    <w:multiLevelType w:val="hybridMultilevel"/>
    <w:tmpl w:val="228CC8A0"/>
    <w:lvl w:ilvl="0" w:tplc="4F8ABF56">
      <w:start w:val="1"/>
      <w:numFmt w:val="bullet"/>
      <w:lvlText w:val="•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AAFFC">
      <w:start w:val="1"/>
      <w:numFmt w:val="bullet"/>
      <w:lvlText w:val="-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A48">
      <w:start w:val="1"/>
      <w:numFmt w:val="bullet"/>
      <w:lvlText w:val="▪"/>
      <w:lvlJc w:val="left"/>
      <w:pPr>
        <w:ind w:left="15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CAF3C">
      <w:start w:val="1"/>
      <w:numFmt w:val="bullet"/>
      <w:lvlText w:val="•"/>
      <w:lvlJc w:val="left"/>
      <w:pPr>
        <w:ind w:left="22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2D4B8">
      <w:start w:val="1"/>
      <w:numFmt w:val="bullet"/>
      <w:lvlText w:val="o"/>
      <w:lvlJc w:val="left"/>
      <w:pPr>
        <w:ind w:left="30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B00532">
      <w:start w:val="1"/>
      <w:numFmt w:val="bullet"/>
      <w:lvlText w:val="▪"/>
      <w:lvlJc w:val="left"/>
      <w:pPr>
        <w:ind w:left="37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86376">
      <w:start w:val="1"/>
      <w:numFmt w:val="bullet"/>
      <w:lvlText w:val="•"/>
      <w:lvlJc w:val="left"/>
      <w:pPr>
        <w:ind w:left="44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2563E">
      <w:start w:val="1"/>
      <w:numFmt w:val="bullet"/>
      <w:lvlText w:val="o"/>
      <w:lvlJc w:val="left"/>
      <w:pPr>
        <w:ind w:left="51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7A0A9E">
      <w:start w:val="1"/>
      <w:numFmt w:val="bullet"/>
      <w:lvlText w:val="▪"/>
      <w:lvlJc w:val="left"/>
      <w:pPr>
        <w:ind w:left="58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FA0C6A"/>
    <w:multiLevelType w:val="hybridMultilevel"/>
    <w:tmpl w:val="E6C6D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541E9"/>
    <w:multiLevelType w:val="multilevel"/>
    <w:tmpl w:val="B2F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D862D4"/>
    <w:multiLevelType w:val="hybridMultilevel"/>
    <w:tmpl w:val="438CA286"/>
    <w:lvl w:ilvl="0" w:tplc="69AAF5C8">
      <w:start w:val="1"/>
      <w:numFmt w:val="bullet"/>
      <w:lvlText w:val="•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6C3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4C7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E92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09C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ADEC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686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496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C6E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168122">
    <w:abstractNumId w:val="1"/>
  </w:num>
  <w:num w:numId="2" w16cid:durableId="2059162630">
    <w:abstractNumId w:val="0"/>
  </w:num>
  <w:num w:numId="3" w16cid:durableId="546451630">
    <w:abstractNumId w:val="4"/>
  </w:num>
  <w:num w:numId="4" w16cid:durableId="982193111">
    <w:abstractNumId w:val="2"/>
  </w:num>
  <w:num w:numId="5" w16cid:durableId="618800298">
    <w:abstractNumId w:val="5"/>
  </w:num>
  <w:num w:numId="6" w16cid:durableId="101607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09"/>
    <w:rsid w:val="00203045"/>
    <w:rsid w:val="003058D9"/>
    <w:rsid w:val="00337B7B"/>
    <w:rsid w:val="004431FF"/>
    <w:rsid w:val="004D4605"/>
    <w:rsid w:val="00576616"/>
    <w:rsid w:val="005B084B"/>
    <w:rsid w:val="005C1AF0"/>
    <w:rsid w:val="005D3DE5"/>
    <w:rsid w:val="006B62D4"/>
    <w:rsid w:val="00707475"/>
    <w:rsid w:val="00812431"/>
    <w:rsid w:val="008207BA"/>
    <w:rsid w:val="00823419"/>
    <w:rsid w:val="0083799B"/>
    <w:rsid w:val="008440C2"/>
    <w:rsid w:val="00854F9C"/>
    <w:rsid w:val="00937712"/>
    <w:rsid w:val="009D0447"/>
    <w:rsid w:val="009F6263"/>
    <w:rsid w:val="00A41AE1"/>
    <w:rsid w:val="00A5389C"/>
    <w:rsid w:val="00A94598"/>
    <w:rsid w:val="00AE0D81"/>
    <w:rsid w:val="00BE3B14"/>
    <w:rsid w:val="00C20A6B"/>
    <w:rsid w:val="00C547FE"/>
    <w:rsid w:val="00C56F09"/>
    <w:rsid w:val="00CF26D6"/>
    <w:rsid w:val="00D81F64"/>
    <w:rsid w:val="00E97047"/>
    <w:rsid w:val="00EC42C8"/>
    <w:rsid w:val="00F05386"/>
    <w:rsid w:val="00FC31DE"/>
    <w:rsid w:val="018FC134"/>
    <w:rsid w:val="0EAC1F38"/>
    <w:rsid w:val="15B85327"/>
    <w:rsid w:val="162905B4"/>
    <w:rsid w:val="1753F0B7"/>
    <w:rsid w:val="1DCEA4C7"/>
    <w:rsid w:val="21A36797"/>
    <w:rsid w:val="22248366"/>
    <w:rsid w:val="23C053C7"/>
    <w:rsid w:val="244B641A"/>
    <w:rsid w:val="2961210E"/>
    <w:rsid w:val="2ACC87B6"/>
    <w:rsid w:val="304FF3CD"/>
    <w:rsid w:val="3387948F"/>
    <w:rsid w:val="35127524"/>
    <w:rsid w:val="386FE408"/>
    <w:rsid w:val="398CC8B8"/>
    <w:rsid w:val="447852EF"/>
    <w:rsid w:val="46142350"/>
    <w:rsid w:val="485FEEA5"/>
    <w:rsid w:val="4901F203"/>
    <w:rsid w:val="4E1F3535"/>
    <w:rsid w:val="4ECEFD58"/>
    <w:rsid w:val="4F3E1F6E"/>
    <w:rsid w:val="58F9339F"/>
    <w:rsid w:val="5A3A561F"/>
    <w:rsid w:val="611BBCDB"/>
    <w:rsid w:val="666623E4"/>
    <w:rsid w:val="6B026E5F"/>
    <w:rsid w:val="6BE8B343"/>
    <w:rsid w:val="6CF54219"/>
    <w:rsid w:val="70C9D546"/>
    <w:rsid w:val="72C36B71"/>
    <w:rsid w:val="744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A35B"/>
  <w15:chartTrackingRefBased/>
  <w15:docId w15:val="{8A3E7A68-D105-413B-BE60-66402292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0035FFDF1043BBFAB17A643534C7" ma:contentTypeVersion="13" ma:contentTypeDescription="Create a new document." ma:contentTypeScope="" ma:versionID="b4f288ed8fa75ae88e8f1cbc9c8d72d5">
  <xsd:schema xmlns:xsd="http://www.w3.org/2001/XMLSchema" xmlns:xs="http://www.w3.org/2001/XMLSchema" xmlns:p="http://schemas.microsoft.com/office/2006/metadata/properties" xmlns:ns3="b227bcb1-4463-469b-801b-45360a781bb1" xmlns:ns4="c05528c2-079a-4632-9d5b-1946ddd85d80" targetNamespace="http://schemas.microsoft.com/office/2006/metadata/properties" ma:root="true" ma:fieldsID="ef84bd1841fdc115ff2424ab6e0d71f0" ns3:_="" ns4:_="">
    <xsd:import namespace="b227bcb1-4463-469b-801b-45360a781bb1"/>
    <xsd:import namespace="c05528c2-079a-4632-9d5b-1946ddd85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7bcb1-4463-469b-801b-45360a7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28c2-079a-4632-9d5b-1946ddd85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AB714-E1F6-4727-B6C3-E672B2201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09E07-6E90-49AA-9C2B-04DEC27F4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D389-0C61-48F4-99DE-C5F10E94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7bcb1-4463-469b-801b-45360a781bb1"/>
    <ds:schemaRef ds:uri="c05528c2-079a-4632-9d5b-1946ddd85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Funaki</dc:creator>
  <cp:keywords/>
  <dc:description/>
  <cp:lastModifiedBy>Patrick Parrish</cp:lastModifiedBy>
  <cp:revision>7</cp:revision>
  <cp:lastPrinted>2023-08-03T08:36:00Z</cp:lastPrinted>
  <dcterms:created xsi:type="dcterms:W3CDTF">2023-08-03T08:19:00Z</dcterms:created>
  <dcterms:modified xsi:type="dcterms:W3CDTF">2023-08-03T13:04:00Z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0x0101004AF00035FFDF1043BBFAB17A643534C7</vt:lpwstr>
  </property>
</Properties>
</file>