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6C55" w14:textId="77777777" w:rsidR="00760186" w:rsidRDefault="00760186" w:rsidP="00760186">
      <w:pPr>
        <w:spacing w:after="456" w:line="265" w:lineRule="auto"/>
        <w:ind w:left="-4"/>
      </w:pPr>
      <w:r>
        <w:t>COMPETENCY 2: FORECAST MARINE WEATHER PHENOMENA, VARIABLES AND PARAMETERS</w:t>
      </w:r>
    </w:p>
    <w:p w14:paraId="7FEAEFF0" w14:textId="77777777" w:rsidR="00760186" w:rsidRDefault="00760186" w:rsidP="00760186">
      <w:pPr>
        <w:spacing w:after="213" w:line="265" w:lineRule="auto"/>
        <w:ind w:left="-4"/>
      </w:pPr>
      <w:r>
        <w:t>Competency description</w:t>
      </w:r>
    </w:p>
    <w:p w14:paraId="7303BC13" w14:textId="77777777" w:rsidR="00760186" w:rsidRDefault="00760186" w:rsidP="00760186">
      <w:pPr>
        <w:spacing w:after="470"/>
        <w:ind w:left="2" w:right="7"/>
      </w:pPr>
      <w:r>
        <w:t xml:space="preserve">Forecasts of meteorological parameters and phenomena are prepared and issued in accordance with documented requirements, </w:t>
      </w:r>
      <w:proofErr w:type="gramStart"/>
      <w:r>
        <w:t>priorities</w:t>
      </w:r>
      <w:proofErr w:type="gramEnd"/>
      <w:r>
        <w:t xml:space="preserve"> and deadlines.</w:t>
      </w:r>
    </w:p>
    <w:p w14:paraId="715328B3" w14:textId="77777777" w:rsidR="00760186" w:rsidRDefault="00760186" w:rsidP="00760186">
      <w:pPr>
        <w:spacing w:after="213" w:line="265" w:lineRule="auto"/>
        <w:ind w:left="-4"/>
      </w:pPr>
      <w:r>
        <w:t>Performance criteria</w:t>
      </w:r>
    </w:p>
    <w:p w14:paraId="1E4D485A" w14:textId="77777777" w:rsidR="00760186" w:rsidRDefault="00760186" w:rsidP="00760186">
      <w:pPr>
        <w:numPr>
          <w:ilvl w:val="0"/>
          <w:numId w:val="1"/>
        </w:numPr>
        <w:ind w:right="7" w:hanging="480"/>
      </w:pPr>
      <w:proofErr w:type="spellStart"/>
      <w:r>
        <w:t>Analyse</w:t>
      </w:r>
      <w:proofErr w:type="spellEnd"/>
      <w:r>
        <w:t xml:space="preserve"> and diagnose the marine weather situation as required for the preparation and issue of </w:t>
      </w:r>
      <w:proofErr w:type="gramStart"/>
      <w:r>
        <w:t>forecasts;</w:t>
      </w:r>
      <w:proofErr w:type="gramEnd"/>
      <w:r>
        <w:t xml:space="preserve"> </w:t>
      </w:r>
    </w:p>
    <w:p w14:paraId="15DD58C6" w14:textId="77777777" w:rsidR="00760186" w:rsidRDefault="00760186" w:rsidP="00760186">
      <w:pPr>
        <w:numPr>
          <w:ilvl w:val="0"/>
          <w:numId w:val="1"/>
        </w:numPr>
        <w:ind w:right="7" w:hanging="480"/>
      </w:pPr>
      <w:r>
        <w:t xml:space="preserve">Prepare forecasts for the following weather phenomena, parameters and variables, including spatial extent, onset and cessation, duration, intensity and temporal variations, where </w:t>
      </w:r>
      <w:proofErr w:type="gramStart"/>
      <w:r>
        <w:t>applicable;</w:t>
      </w:r>
      <w:proofErr w:type="gramEnd"/>
    </w:p>
    <w:p w14:paraId="67A3609F" w14:textId="77777777" w:rsidR="00760186" w:rsidRDefault="00760186" w:rsidP="00760186">
      <w:pPr>
        <w:ind w:left="2" w:right="7"/>
      </w:pPr>
      <w:r>
        <w:t>*For high seas, coastal forecast requirements:</w:t>
      </w:r>
    </w:p>
    <w:p w14:paraId="01BE928D" w14:textId="77777777" w:rsidR="00760186" w:rsidRDefault="00760186" w:rsidP="00760186">
      <w:pPr>
        <w:numPr>
          <w:ilvl w:val="1"/>
          <w:numId w:val="1"/>
        </w:numPr>
        <w:ind w:right="7" w:hanging="480"/>
      </w:pPr>
      <w:r>
        <w:t xml:space="preserve">Wind including directional variability, speed and wind </w:t>
      </w:r>
      <w:proofErr w:type="gramStart"/>
      <w:r>
        <w:t>gusts;</w:t>
      </w:r>
      <w:proofErr w:type="gramEnd"/>
    </w:p>
    <w:p w14:paraId="0708D616" w14:textId="77777777" w:rsidR="00760186" w:rsidRDefault="00760186" w:rsidP="00760186">
      <w:pPr>
        <w:numPr>
          <w:ilvl w:val="1"/>
          <w:numId w:val="1"/>
        </w:numPr>
        <w:ind w:right="7" w:hanging="480"/>
      </w:pPr>
      <w:r>
        <w:t xml:space="preserve">Sea </w:t>
      </w:r>
      <w:proofErr w:type="gramStart"/>
      <w:r>
        <w:t>state;</w:t>
      </w:r>
      <w:proofErr w:type="gramEnd"/>
    </w:p>
    <w:p w14:paraId="7909B992" w14:textId="77777777" w:rsidR="00760186" w:rsidRDefault="00760186" w:rsidP="00760186">
      <w:pPr>
        <w:numPr>
          <w:ilvl w:val="1"/>
          <w:numId w:val="1"/>
        </w:numPr>
        <w:ind w:right="7" w:hanging="480"/>
      </w:pPr>
      <w:r>
        <w:t xml:space="preserve">Damaging large waves or multiple swell </w:t>
      </w:r>
      <w:proofErr w:type="gramStart"/>
      <w:r>
        <w:t>systems;</w:t>
      </w:r>
      <w:proofErr w:type="gramEnd"/>
    </w:p>
    <w:p w14:paraId="052113FD" w14:textId="77777777" w:rsidR="00760186" w:rsidRDefault="00760186" w:rsidP="00760186">
      <w:pPr>
        <w:numPr>
          <w:ilvl w:val="1"/>
          <w:numId w:val="1"/>
        </w:numPr>
        <w:ind w:right="7" w:hanging="480"/>
      </w:pPr>
      <w:r>
        <w:t xml:space="preserve">Precipitation and associated horizontal </w:t>
      </w:r>
      <w:proofErr w:type="gramStart"/>
      <w:r>
        <w:t>visibility;</w:t>
      </w:r>
      <w:proofErr w:type="gramEnd"/>
    </w:p>
    <w:p w14:paraId="61088223" w14:textId="77777777" w:rsidR="00760186" w:rsidRDefault="00760186" w:rsidP="00760186">
      <w:pPr>
        <w:numPr>
          <w:ilvl w:val="1"/>
          <w:numId w:val="1"/>
        </w:numPr>
        <w:ind w:right="7" w:hanging="480"/>
      </w:pPr>
      <w:r>
        <w:t xml:space="preserve">Fog or mist, and associated horizontal </w:t>
      </w:r>
      <w:proofErr w:type="gramStart"/>
      <w:r>
        <w:t>visibility;</w:t>
      </w:r>
      <w:proofErr w:type="gramEnd"/>
    </w:p>
    <w:p w14:paraId="1E755F85" w14:textId="77777777" w:rsidR="00760186" w:rsidRDefault="00760186" w:rsidP="00760186">
      <w:pPr>
        <w:numPr>
          <w:ilvl w:val="1"/>
          <w:numId w:val="1"/>
        </w:numPr>
        <w:ind w:right="7" w:hanging="480"/>
      </w:pPr>
      <w:r>
        <w:t xml:space="preserve">Other types of </w:t>
      </w:r>
      <w:proofErr w:type="gramStart"/>
      <w:r>
        <w:t>obscuration</w:t>
      </w:r>
      <w:proofErr w:type="gramEnd"/>
      <w:r>
        <w:t xml:space="preserve"> to visibility, including smoke, dust, haze, sandstorms, </w:t>
      </w:r>
      <w:proofErr w:type="spellStart"/>
      <w:r>
        <w:t>duststorms</w:t>
      </w:r>
      <w:proofErr w:type="spellEnd"/>
      <w:r>
        <w:t>, blowing snow, volcanic ash and rock, and associated horizontal visibility;</w:t>
      </w:r>
    </w:p>
    <w:p w14:paraId="17DE2CE3" w14:textId="77777777" w:rsidR="00760186" w:rsidRDefault="00760186" w:rsidP="00760186">
      <w:pPr>
        <w:numPr>
          <w:ilvl w:val="1"/>
          <w:numId w:val="1"/>
        </w:numPr>
        <w:ind w:right="7" w:hanging="480"/>
      </w:pPr>
      <w:r>
        <w:t xml:space="preserve">Sea-ice </w:t>
      </w:r>
      <w:proofErr w:type="gramStart"/>
      <w:r>
        <w:t>state;</w:t>
      </w:r>
      <w:proofErr w:type="gramEnd"/>
    </w:p>
    <w:p w14:paraId="416CC373" w14:textId="77777777" w:rsidR="00760186" w:rsidRDefault="00760186" w:rsidP="00760186">
      <w:pPr>
        <w:numPr>
          <w:ilvl w:val="1"/>
          <w:numId w:val="1"/>
        </w:numPr>
        <w:ind w:right="7" w:hanging="480"/>
      </w:pPr>
      <w:r>
        <w:t xml:space="preserve">Synoptic situation for tropical, subtropical, temperate and polar climate zones as </w:t>
      </w:r>
      <w:proofErr w:type="gramStart"/>
      <w:r>
        <w:t>required;</w:t>
      </w:r>
      <w:proofErr w:type="gramEnd"/>
    </w:p>
    <w:p w14:paraId="0492FB75" w14:textId="77777777" w:rsidR="00760186" w:rsidRDefault="00760186" w:rsidP="00760186">
      <w:pPr>
        <w:numPr>
          <w:ilvl w:val="1"/>
          <w:numId w:val="1"/>
        </w:numPr>
        <w:ind w:right="7" w:hanging="480"/>
      </w:pPr>
      <w:r>
        <w:t xml:space="preserve">Thunderstorms, heavy precipitation with poor horizontal visibility, downburst and microburst, squalls or gust front, hail, tornadic and waterspout </w:t>
      </w:r>
      <w:proofErr w:type="gramStart"/>
      <w:r>
        <w:t>activity;</w:t>
      </w:r>
      <w:proofErr w:type="gramEnd"/>
    </w:p>
    <w:p w14:paraId="15C56177" w14:textId="77777777" w:rsidR="00760186" w:rsidRDefault="00760186" w:rsidP="00760186">
      <w:pPr>
        <w:numPr>
          <w:ilvl w:val="1"/>
          <w:numId w:val="1"/>
        </w:numPr>
        <w:ind w:right="7" w:hanging="480"/>
      </w:pPr>
      <w:r>
        <w:t xml:space="preserve">Freezing spray or precipitation, </w:t>
      </w:r>
      <w:proofErr w:type="gramStart"/>
      <w:r>
        <w:t>snowfall;</w:t>
      </w:r>
      <w:proofErr w:type="gramEnd"/>
    </w:p>
    <w:p w14:paraId="5038E147" w14:textId="77777777" w:rsidR="00760186" w:rsidRDefault="00760186" w:rsidP="00760186">
      <w:pPr>
        <w:numPr>
          <w:ilvl w:val="1"/>
          <w:numId w:val="1"/>
        </w:numPr>
        <w:ind w:right="7" w:hanging="480"/>
      </w:pPr>
      <w:r>
        <w:t xml:space="preserve">Icing on vessels or </w:t>
      </w:r>
      <w:proofErr w:type="gramStart"/>
      <w:r>
        <w:t>structures;</w:t>
      </w:r>
      <w:proofErr w:type="gramEnd"/>
    </w:p>
    <w:p w14:paraId="312752D6" w14:textId="77777777" w:rsidR="00760186" w:rsidRDefault="00760186" w:rsidP="00760186">
      <w:pPr>
        <w:numPr>
          <w:ilvl w:val="1"/>
          <w:numId w:val="1"/>
        </w:numPr>
        <w:ind w:right="7" w:hanging="480"/>
      </w:pPr>
      <w:r>
        <w:t xml:space="preserve">Tropical cyclones, hurricanes, typhoons and their </w:t>
      </w:r>
      <w:proofErr w:type="gramStart"/>
      <w:r>
        <w:t>movement;</w:t>
      </w:r>
      <w:proofErr w:type="gramEnd"/>
    </w:p>
    <w:p w14:paraId="4CA1A0C0" w14:textId="77777777" w:rsidR="00760186" w:rsidRDefault="00760186" w:rsidP="00760186">
      <w:pPr>
        <w:numPr>
          <w:ilvl w:val="1"/>
          <w:numId w:val="1"/>
        </w:numPr>
        <w:ind w:right="7" w:hanging="480"/>
      </w:pPr>
      <w:r>
        <w:t xml:space="preserve">Icebergs and their </w:t>
      </w:r>
      <w:proofErr w:type="gramStart"/>
      <w:r>
        <w:t>movement;</w:t>
      </w:r>
      <w:proofErr w:type="gramEnd"/>
    </w:p>
    <w:p w14:paraId="6FA0CAC0" w14:textId="77777777" w:rsidR="00760186" w:rsidRDefault="00760186" w:rsidP="00760186">
      <w:pPr>
        <w:numPr>
          <w:ilvl w:val="1"/>
          <w:numId w:val="1"/>
        </w:numPr>
        <w:ind w:right="7" w:hanging="480"/>
      </w:pPr>
      <w:r>
        <w:t>Other international and national forecast requirements, as listed under Regional Variations.</w:t>
      </w:r>
    </w:p>
    <w:p w14:paraId="068F2243" w14:textId="77777777" w:rsidR="00760186" w:rsidRDefault="00760186" w:rsidP="00760186">
      <w:pPr>
        <w:numPr>
          <w:ilvl w:val="0"/>
          <w:numId w:val="1"/>
        </w:numPr>
        <w:ind w:right="7" w:hanging="480"/>
      </w:pPr>
      <w:r>
        <w:t xml:space="preserve">Ensure that forecasts are prepared and issued in accordance with the </w:t>
      </w:r>
      <w:r>
        <w:rPr>
          <w:i/>
        </w:rPr>
        <w:t>Manual on Marine Meteorological Services</w:t>
      </w:r>
      <w:r>
        <w:t xml:space="preserve"> (WMO-No. 558), Volumes I and II, and/or national standard operating procedures (SOPs) including format, codes and technical regulations on content, accuracy and </w:t>
      </w:r>
      <w:proofErr w:type="gramStart"/>
      <w:r>
        <w:t>timeliness;</w:t>
      </w:r>
      <w:proofErr w:type="gramEnd"/>
    </w:p>
    <w:p w14:paraId="3C221737" w14:textId="77777777" w:rsidR="00760186" w:rsidRDefault="00760186" w:rsidP="00760186">
      <w:pPr>
        <w:numPr>
          <w:ilvl w:val="0"/>
          <w:numId w:val="1"/>
        </w:numPr>
        <w:spacing w:after="470"/>
        <w:ind w:right="7" w:hanging="480"/>
      </w:pPr>
      <w:r>
        <w:t xml:space="preserve">Ensure that forecasts of weather parameters and phenomena are consistent (spatially and temporally) across boundaries of the area of responsibility as far as practicable, while maintaining meteorological </w:t>
      </w:r>
      <w:r>
        <w:lastRenderedPageBreak/>
        <w:t xml:space="preserve">integrity. This will entail monitoring forecasts and warnings issued for other </w:t>
      </w:r>
      <w:proofErr w:type="gramStart"/>
      <w:r>
        <w:t>regions, and</w:t>
      </w:r>
      <w:proofErr w:type="gramEnd"/>
      <w:r>
        <w:t xml:space="preserve"> liaising with adjacent regions as required.</w:t>
      </w:r>
    </w:p>
    <w:p w14:paraId="02E17FA3" w14:textId="77777777" w:rsidR="00760186" w:rsidRDefault="00760186" w:rsidP="00760186">
      <w:pPr>
        <w:spacing w:after="213" w:line="265" w:lineRule="auto"/>
        <w:ind w:left="-4"/>
      </w:pPr>
      <w:r>
        <w:t>Background knowledge and skills</w:t>
      </w:r>
    </w:p>
    <w:p w14:paraId="1FEA3DD9" w14:textId="77777777" w:rsidR="00760186" w:rsidRDefault="00760186" w:rsidP="00760186">
      <w:pPr>
        <w:numPr>
          <w:ilvl w:val="0"/>
          <w:numId w:val="2"/>
        </w:numPr>
        <w:ind w:right="7" w:hanging="480"/>
      </w:pPr>
      <w:r>
        <w:t xml:space="preserve">Knowledge of methods for predicting meteorological and oceanographic conditions, and their applications, including those required by the application regional </w:t>
      </w:r>
      <w:proofErr w:type="gramStart"/>
      <w:r>
        <w:t>variations;</w:t>
      </w:r>
      <w:proofErr w:type="gramEnd"/>
    </w:p>
    <w:p w14:paraId="7853790F" w14:textId="77777777" w:rsidR="00760186" w:rsidRDefault="00760186" w:rsidP="00760186">
      <w:pPr>
        <w:numPr>
          <w:ilvl w:val="0"/>
          <w:numId w:val="2"/>
        </w:numPr>
        <w:ind w:right="7" w:hanging="480"/>
      </w:pPr>
      <w:r>
        <w:t xml:space="preserve">Knowledge of forecasting models (deterministic models and EPS) including wave </w:t>
      </w:r>
      <w:proofErr w:type="gramStart"/>
      <w:r>
        <w:t>models;</w:t>
      </w:r>
      <w:proofErr w:type="gramEnd"/>
    </w:p>
    <w:p w14:paraId="35583361" w14:textId="77777777" w:rsidR="00760186" w:rsidRDefault="00760186" w:rsidP="00760186">
      <w:pPr>
        <w:numPr>
          <w:ilvl w:val="0"/>
          <w:numId w:val="2"/>
        </w:numPr>
        <w:ind w:right="7" w:hanging="480"/>
      </w:pPr>
      <w:r>
        <w:t xml:space="preserve">Knowledge of remote-sensing </w:t>
      </w:r>
      <w:proofErr w:type="gramStart"/>
      <w:r>
        <w:t>applications;</w:t>
      </w:r>
      <w:proofErr w:type="gramEnd"/>
    </w:p>
    <w:p w14:paraId="13B7DEB1" w14:textId="77777777" w:rsidR="00760186" w:rsidRDefault="00760186" w:rsidP="00760186">
      <w:pPr>
        <w:numPr>
          <w:ilvl w:val="0"/>
          <w:numId w:val="2"/>
        </w:numPr>
        <w:ind w:right="7" w:hanging="480"/>
      </w:pPr>
      <w:r>
        <w:t>Knowledge of forecast preparation systems (including use of software</w:t>
      </w:r>
      <w:proofErr w:type="gramStart"/>
      <w:r>
        <w:t>);</w:t>
      </w:r>
      <w:proofErr w:type="gramEnd"/>
    </w:p>
    <w:p w14:paraId="0FE6E699" w14:textId="77777777" w:rsidR="00760186" w:rsidRDefault="00760186" w:rsidP="00760186">
      <w:pPr>
        <w:numPr>
          <w:ilvl w:val="0"/>
          <w:numId w:val="2"/>
        </w:numPr>
        <w:ind w:right="7" w:hanging="480"/>
      </w:pPr>
      <w:r>
        <w:t xml:space="preserve">Knowledge of local and regional areas of responsibility, in particular forecast boundaries and associated observation </w:t>
      </w:r>
      <w:proofErr w:type="gramStart"/>
      <w:r>
        <w:t>sites;</w:t>
      </w:r>
      <w:proofErr w:type="gramEnd"/>
    </w:p>
    <w:p w14:paraId="28293B33" w14:textId="77777777" w:rsidR="00760186" w:rsidRDefault="00760186" w:rsidP="00760186">
      <w:pPr>
        <w:numPr>
          <w:ilvl w:val="0"/>
          <w:numId w:val="2"/>
        </w:numPr>
        <w:ind w:right="7" w:hanging="480"/>
      </w:pPr>
      <w:r>
        <w:t xml:space="preserve">Knowledge of forecast issue times and work </w:t>
      </w:r>
      <w:proofErr w:type="gramStart"/>
      <w:r>
        <w:t>priorities;</w:t>
      </w:r>
      <w:proofErr w:type="gramEnd"/>
    </w:p>
    <w:p w14:paraId="50D0CF2B" w14:textId="77777777" w:rsidR="00760186" w:rsidRDefault="00760186" w:rsidP="00760186">
      <w:pPr>
        <w:numPr>
          <w:ilvl w:val="0"/>
          <w:numId w:val="2"/>
        </w:numPr>
        <w:ind w:right="7" w:hanging="480"/>
      </w:pPr>
      <w:r>
        <w:t xml:space="preserve">Knowledge of types and characteristics of wave and swell; generation and decay of wave and swell; and shallow water wave </w:t>
      </w:r>
      <w:proofErr w:type="gramStart"/>
      <w:r>
        <w:t>characteristics;</w:t>
      </w:r>
      <w:proofErr w:type="gramEnd"/>
    </w:p>
    <w:p w14:paraId="75A894F0" w14:textId="77777777" w:rsidR="00760186" w:rsidRDefault="00760186" w:rsidP="00760186">
      <w:pPr>
        <w:numPr>
          <w:ilvl w:val="0"/>
          <w:numId w:val="2"/>
        </w:numPr>
        <w:spacing w:after="10"/>
        <w:ind w:right="7" w:hanging="480"/>
      </w:pPr>
      <w:r>
        <w:t xml:space="preserve">Knowledge of tropical cyclones, hurricanes and typhoons and their impact on marine </w:t>
      </w:r>
    </w:p>
    <w:p w14:paraId="5F669FBD" w14:textId="77777777" w:rsidR="00760186" w:rsidRDefault="00760186" w:rsidP="00760186">
      <w:pPr>
        <w:ind w:left="490" w:right="7"/>
      </w:pPr>
      <w:proofErr w:type="gramStart"/>
      <w:r>
        <w:t>activities;</w:t>
      </w:r>
      <w:proofErr w:type="gramEnd"/>
    </w:p>
    <w:p w14:paraId="7F0B0CDE" w14:textId="77777777" w:rsidR="00760186" w:rsidRDefault="00760186" w:rsidP="00760186">
      <w:pPr>
        <w:numPr>
          <w:ilvl w:val="0"/>
          <w:numId w:val="2"/>
        </w:numPr>
        <w:ind w:right="7" w:hanging="480"/>
      </w:pPr>
      <w:r>
        <w:t xml:space="preserve">Knowledge of sea and tidal currents, sea level (including storm surges and tsunami) and drifting of objects or </w:t>
      </w:r>
      <w:proofErr w:type="gramStart"/>
      <w:r>
        <w:t>pollutants;</w:t>
      </w:r>
      <w:proofErr w:type="gramEnd"/>
    </w:p>
    <w:p w14:paraId="65F9A079" w14:textId="77777777" w:rsidR="00760186" w:rsidRDefault="00760186" w:rsidP="00760186">
      <w:pPr>
        <w:numPr>
          <w:ilvl w:val="0"/>
          <w:numId w:val="2"/>
        </w:numPr>
        <w:ind w:right="7" w:hanging="480"/>
      </w:pPr>
      <w:r>
        <w:t xml:space="preserve">The ability to forecast sea-ice extent, thickness, concentration, stage of development, drift, deformation, growth and </w:t>
      </w:r>
      <w:proofErr w:type="gramStart"/>
      <w:r>
        <w:t>melting;</w:t>
      </w:r>
      <w:proofErr w:type="gramEnd"/>
    </w:p>
    <w:p w14:paraId="348E3DAA" w14:textId="77777777" w:rsidR="00760186" w:rsidRDefault="00760186" w:rsidP="00760186">
      <w:pPr>
        <w:numPr>
          <w:ilvl w:val="0"/>
          <w:numId w:val="2"/>
        </w:numPr>
        <w:spacing w:after="706"/>
        <w:ind w:right="7" w:hanging="480"/>
      </w:pPr>
      <w:r>
        <w:t>The ability to forecast icebergs and their movement, as required.</w:t>
      </w:r>
    </w:p>
    <w:p w14:paraId="57AC5B1B" w14:textId="77777777" w:rsidR="001D6AA7" w:rsidRDefault="001D6AA7"/>
    <w:sectPr w:rsidR="001D6AA7" w:rsidSect="001D39D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42920"/>
    <w:multiLevelType w:val="hybridMultilevel"/>
    <w:tmpl w:val="B53C4A1A"/>
    <w:lvl w:ilvl="0" w:tplc="3828E9CA">
      <w:start w:val="1"/>
      <w:numFmt w:val="decimal"/>
      <w:lvlText w:val="%1.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6E36D0">
      <w:start w:val="1"/>
      <w:numFmt w:val="bullet"/>
      <w:lvlText w:val="•"/>
      <w:lvlJc w:val="left"/>
      <w:pPr>
        <w:ind w:left="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E0DAAE">
      <w:start w:val="1"/>
      <w:numFmt w:val="bullet"/>
      <w:lvlText w:val="▪"/>
      <w:lvlJc w:val="left"/>
      <w:pPr>
        <w:ind w:left="15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124B34">
      <w:start w:val="1"/>
      <w:numFmt w:val="bullet"/>
      <w:lvlText w:val="•"/>
      <w:lvlJc w:val="left"/>
      <w:pPr>
        <w:ind w:left="22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7E99C6">
      <w:start w:val="1"/>
      <w:numFmt w:val="bullet"/>
      <w:lvlText w:val="o"/>
      <w:lvlJc w:val="left"/>
      <w:pPr>
        <w:ind w:left="30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C8596">
      <w:start w:val="1"/>
      <w:numFmt w:val="bullet"/>
      <w:lvlText w:val="▪"/>
      <w:lvlJc w:val="left"/>
      <w:pPr>
        <w:ind w:left="37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F8F418">
      <w:start w:val="1"/>
      <w:numFmt w:val="bullet"/>
      <w:lvlText w:val="•"/>
      <w:lvlJc w:val="left"/>
      <w:pPr>
        <w:ind w:left="44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689D3C">
      <w:start w:val="1"/>
      <w:numFmt w:val="bullet"/>
      <w:lvlText w:val="o"/>
      <w:lvlJc w:val="left"/>
      <w:pPr>
        <w:ind w:left="51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1AB532">
      <w:start w:val="1"/>
      <w:numFmt w:val="bullet"/>
      <w:lvlText w:val="▪"/>
      <w:lvlJc w:val="left"/>
      <w:pPr>
        <w:ind w:left="58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D862D4"/>
    <w:multiLevelType w:val="hybridMultilevel"/>
    <w:tmpl w:val="438CA286"/>
    <w:lvl w:ilvl="0" w:tplc="69AAF5C8">
      <w:start w:val="1"/>
      <w:numFmt w:val="bullet"/>
      <w:lvlText w:val="•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B6C3D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4C7F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9E92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909CA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0ADEC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E686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4496C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FC6E6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0043636">
    <w:abstractNumId w:val="0"/>
  </w:num>
  <w:num w:numId="2" w16cid:durableId="78095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86"/>
    <w:rsid w:val="001D39DE"/>
    <w:rsid w:val="001D6AA7"/>
    <w:rsid w:val="00760186"/>
    <w:rsid w:val="009C2075"/>
    <w:rsid w:val="00A5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B1A8F8"/>
  <w15:chartTrackingRefBased/>
  <w15:docId w15:val="{DED4B543-5BDB-514F-9895-2DB174A7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186"/>
    <w:pPr>
      <w:spacing w:after="229" w:line="248" w:lineRule="auto"/>
      <w:ind w:left="17" w:hanging="10"/>
    </w:pPr>
    <w:rPr>
      <w:rFonts w:ascii="Calibri" w:eastAsia="Calibri" w:hAnsi="Calibri" w:cs="Calibri"/>
      <w:b/>
      <w:color w:val="181717"/>
      <w:kern w:val="0"/>
      <w:sz w:val="2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Parrish</dc:creator>
  <cp:keywords/>
  <dc:description/>
  <cp:lastModifiedBy>Patrick Parrish</cp:lastModifiedBy>
  <cp:revision>1</cp:revision>
  <dcterms:created xsi:type="dcterms:W3CDTF">2023-07-25T09:18:00Z</dcterms:created>
  <dcterms:modified xsi:type="dcterms:W3CDTF">2023-07-25T09:19:00Z</dcterms:modified>
</cp:coreProperties>
</file>