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1867" w14:textId="23ECA1A7" w:rsidR="0091284E" w:rsidRPr="0091284E" w:rsidRDefault="0061104E" w:rsidP="00AF60C9">
      <w:pPr>
        <w:jc w:val="center"/>
        <w:rPr>
          <w:b/>
          <w:bCs/>
        </w:rPr>
      </w:pPr>
      <w:r>
        <w:rPr>
          <w:rStyle w:val="Heading2Char"/>
        </w:rPr>
        <w:t>SYMET-14: Education and Training in a Period of Rapid Change</w:t>
      </w:r>
      <w:r w:rsidR="0099215E" w:rsidRPr="00F355F7">
        <w:rPr>
          <w:rStyle w:val="Heading2Char"/>
        </w:rPr>
        <w:br/>
      </w:r>
      <w:r w:rsidR="0091284E" w:rsidRPr="00FC49D9">
        <w:rPr>
          <w:sz w:val="28"/>
          <w:szCs w:val="28"/>
        </w:rPr>
        <w:t xml:space="preserve"> WMO </w:t>
      </w:r>
      <w:r w:rsidRPr="00FC49D9">
        <w:rPr>
          <w:sz w:val="28"/>
          <w:szCs w:val="28"/>
        </w:rPr>
        <w:t>Symposium on Education and Training</w:t>
      </w:r>
      <w:r w:rsidR="0091284E" w:rsidRPr="00FC49D9">
        <w:rPr>
          <w:sz w:val="28"/>
          <w:szCs w:val="28"/>
        </w:rPr>
        <w:t xml:space="preserve"> </w:t>
      </w:r>
      <w:r w:rsidR="00AF60C9" w:rsidRPr="00FC49D9">
        <w:rPr>
          <w:sz w:val="28"/>
          <w:szCs w:val="28"/>
        </w:rPr>
        <w:br/>
      </w:r>
      <w:r w:rsidR="00B32A14" w:rsidRPr="00FC49D9">
        <w:rPr>
          <w:b/>
          <w:bCs/>
          <w:sz w:val="28"/>
          <w:szCs w:val="28"/>
        </w:rPr>
        <w:t>Work Plan</w:t>
      </w:r>
      <w:r w:rsidR="00E445E5" w:rsidRPr="00FC49D9">
        <w:rPr>
          <w:b/>
          <w:bCs/>
          <w:sz w:val="28"/>
          <w:szCs w:val="28"/>
        </w:rPr>
        <w:t xml:space="preserve"> Template</w:t>
      </w:r>
    </w:p>
    <w:p w14:paraId="4BE7B27B" w14:textId="67AAAAF8" w:rsidR="007061C1" w:rsidRDefault="0091284E" w:rsidP="00E445E5">
      <w:pPr>
        <w:rPr>
          <w:b/>
          <w:bCs/>
          <w:color w:val="FF000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A7A51" wp14:editId="0B982FBD">
                <wp:simplePos x="0" y="0"/>
                <wp:positionH relativeFrom="column">
                  <wp:posOffset>-11575</wp:posOffset>
                </wp:positionH>
                <wp:positionV relativeFrom="paragraph">
                  <wp:posOffset>43847</wp:posOffset>
                </wp:positionV>
                <wp:extent cx="5903089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0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EF80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3.45pt" to="463.9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Wp01wEAAA0EAAAOAAAAZHJzL2Uyb0RvYy54bWysU8GO2yAUvFfqPyDujZ1UbXetOHvIanup&#13;&#10;2qi7/QAWQ4wEPPSgsfP3fWDHWbVVpVa9YANvhpnhsb0bnWUnhdGAb/l6VXOmvITO+GPLvz09vLnh&#13;&#10;LCbhO2HBq5afVeR3u9evtkNo1AZ6sJ1CRiQ+NkNoeZ9SaKoqyl45EVcQlKdNDehEoikeqw7FQOzO&#13;&#10;Vpu6fl8NgF1AkCpGWr2fNvmu8GutZPqidVSJ2ZaTtlRGLONzHqvdVjRHFKE3cpYh/kGFE8bToQvV&#13;&#10;vUiCfUfzC5UzEiGCTisJrgKtjVTFA7lZ1z+5eexFUMULhRPDElP8f7Ty8+mAzHR0d5x54eiKHhMK&#13;&#10;c+wT24P3FCAgW+echhAbKt/7A86zGA6YTY8aXf6SHTaWbM9LtmpMTNLiu9v6bX1zy5m87FVXYMCY&#13;&#10;PipwLP+03BqfbYtGnD7FRIdR6aUkL1vPBhK8+VDXpSyCNd2DsTZvltZRe4vsJOjS01jEE8OLKppZ&#13;&#10;T7TZ0mSi/KWzVRP/V6UpFJK9ng7I7XjlFFIqny681lN1hmlSsABnZX8CzvUZqkqr/g14QZSTwacF&#13;&#10;7IwH/J3saxR6qr8kMPnOETxDdy7XW6KhnivZz+8jN/XLeYFfX/HuBwAAAP//AwBQSwMEFAAGAAgA&#13;&#10;AAAhAGwI0KfeAAAACwEAAA8AAABkcnMvZG93bnJldi54bWxMj81qwzAQhO+FvoPYQm+JnBSSxrEc&#13;&#10;QkseIGkh9KZI65/WWhlJjp2377aX9rLwMczsTLGbXCeuGGLrScFinoFAMt62VCt4fzvMnkHEpMnq&#13;&#10;zhMquGGEXXl/V+jc+pGOeD2lWnAIxVwraFLqcymjadDpOPc9EmuVD04nxlBLG/TI4a6TyyxbSadb&#13;&#10;4g+N7vGlQfN1GpyCj2zshk9THcyTvp3puHfrUDmlHh+m1y2f/RZEwin9OeBnA/eHkotd/EA2ik7B&#13;&#10;bMH1k4LVBgTLm+Wa+fLLsizk/w3lNwAAAP//AwBQSwECLQAUAAYACAAAACEAtoM4kv4AAADhAQAA&#13;&#10;EwAAAAAAAAAAAAAAAAAAAAAAW0NvbnRlbnRfVHlwZXNdLnhtbFBLAQItABQABgAIAAAAIQA4/SH/&#13;&#10;1gAAAJQBAAALAAAAAAAAAAAAAAAAAC8BAABfcmVscy8ucmVsc1BLAQItABQABgAIAAAAIQCOzWp0&#13;&#10;1wEAAA0EAAAOAAAAAAAAAAAAAAAAAC4CAABkcnMvZTJvRG9jLnhtbFBLAQItABQABgAIAAAAIQBs&#13;&#10;CNCn3gAAAAsBAAAPAAAAAAAAAAAAAAAAADEEAABkcnMvZG93bnJldi54bWxQSwUGAAAAAAQABADz&#13;&#10;AAAAPAUAAAAA&#13;&#10;" strokecolor="black [3213]" strokeweight="1pt"/>
            </w:pict>
          </mc:Fallback>
        </mc:AlternateContent>
      </w:r>
    </w:p>
    <w:p w14:paraId="010D1F03" w14:textId="11E1F64D" w:rsidR="00E445E5" w:rsidRPr="00820EDA" w:rsidRDefault="00B32A14" w:rsidP="00E445E5">
      <w:pPr>
        <w:rPr>
          <w:rFonts w:eastAsia="Times New Roman" w:cstheme="minorHAnsi"/>
          <w:b/>
          <w:bCs/>
          <w:sz w:val="28"/>
          <w:szCs w:val="28"/>
          <w:lang w:eastAsia="en-US"/>
        </w:rPr>
      </w:pPr>
      <w:r w:rsidRPr="00287E44">
        <w:rPr>
          <w:b/>
          <w:bCs/>
          <w:sz w:val="28"/>
          <w:szCs w:val="28"/>
        </w:rPr>
        <w:t>Theme</w:t>
      </w:r>
      <w:r w:rsidR="0037750D" w:rsidRPr="00287E44">
        <w:rPr>
          <w:b/>
          <w:bCs/>
          <w:sz w:val="28"/>
          <w:szCs w:val="28"/>
        </w:rPr>
        <w:t xml:space="preserve"> #</w:t>
      </w:r>
      <w:r w:rsidR="001E6E30" w:rsidRPr="00287E44">
        <w:rPr>
          <w:b/>
          <w:bCs/>
          <w:sz w:val="28"/>
          <w:szCs w:val="28"/>
        </w:rPr>
        <w:t>3</w:t>
      </w:r>
      <w:r w:rsidR="00E76535" w:rsidRPr="00287E44">
        <w:rPr>
          <w:b/>
          <w:bCs/>
          <w:sz w:val="28"/>
          <w:szCs w:val="28"/>
        </w:rPr>
        <w:t>:</w:t>
      </w:r>
      <w:r w:rsidR="00CB5797" w:rsidRPr="00287E44">
        <w:rPr>
          <w:b/>
          <w:bCs/>
          <w:sz w:val="28"/>
          <w:szCs w:val="28"/>
        </w:rPr>
        <w:t xml:space="preserve"> </w:t>
      </w:r>
      <w:r w:rsidR="001E6E30" w:rsidRPr="00287E44">
        <w:rPr>
          <w:b/>
          <w:bCs/>
          <w:sz w:val="28"/>
          <w:szCs w:val="28"/>
          <w:lang w:val="en-CH"/>
        </w:rPr>
        <w:t>Micro-credentials and credit transfer, how could we proceed</w:t>
      </w:r>
      <w:r w:rsidR="001E6E30" w:rsidRPr="00287E44">
        <w:rPr>
          <w:b/>
          <w:bCs/>
          <w:sz w:val="28"/>
          <w:szCs w:val="28"/>
        </w:rPr>
        <w:t xml:space="preserve"> (</w:t>
      </w:r>
      <w:r w:rsidR="00820EDA">
        <w:rPr>
          <w:b/>
          <w:bCs/>
          <w:sz w:val="28"/>
          <w:szCs w:val="28"/>
        </w:rPr>
        <w:t>Co-</w:t>
      </w:r>
      <w:r w:rsidR="001E6E30" w:rsidRPr="00287E44">
        <w:rPr>
          <w:b/>
          <w:bCs/>
          <w:sz w:val="28"/>
          <w:szCs w:val="28"/>
        </w:rPr>
        <w:t>Chair</w:t>
      </w:r>
      <w:r w:rsidR="00820EDA">
        <w:rPr>
          <w:b/>
          <w:bCs/>
          <w:sz w:val="28"/>
          <w:szCs w:val="28"/>
        </w:rPr>
        <w:t>s</w:t>
      </w:r>
      <w:r w:rsidR="001E6E30" w:rsidRPr="00287E44">
        <w:rPr>
          <w:b/>
          <w:bCs/>
          <w:sz w:val="28"/>
          <w:szCs w:val="28"/>
        </w:rPr>
        <w:t>: Yan Ma, Chair of Reading-NUIST Academy</w:t>
      </w:r>
      <w:r w:rsidR="00820EDA">
        <w:rPr>
          <w:b/>
          <w:bCs/>
          <w:sz w:val="28"/>
          <w:szCs w:val="28"/>
        </w:rPr>
        <w:t>;</w:t>
      </w:r>
      <w:r w:rsidR="00E53418" w:rsidRPr="00287E44">
        <w:rPr>
          <w:b/>
          <w:bCs/>
          <w:sz w:val="28"/>
          <w:szCs w:val="28"/>
        </w:rPr>
        <w:t xml:space="preserve"> </w:t>
      </w:r>
      <w:proofErr w:type="spellStart"/>
      <w:r w:rsidR="00820EDA" w:rsidRPr="00820EDA">
        <w:rPr>
          <w:b/>
          <w:bCs/>
          <w:sz w:val="28"/>
          <w:szCs w:val="28"/>
        </w:rPr>
        <w:t>Vieri</w:t>
      </w:r>
      <w:proofErr w:type="spellEnd"/>
      <w:r w:rsidR="00820EDA" w:rsidRPr="00820EDA">
        <w:rPr>
          <w:b/>
          <w:bCs/>
          <w:sz w:val="28"/>
          <w:szCs w:val="28"/>
        </w:rPr>
        <w:t xml:space="preserve"> </w:t>
      </w:r>
      <w:proofErr w:type="spellStart"/>
      <w:r w:rsidR="00820EDA" w:rsidRPr="00820EDA">
        <w:rPr>
          <w:b/>
          <w:bCs/>
          <w:sz w:val="28"/>
          <w:szCs w:val="28"/>
        </w:rPr>
        <w:t>Tarchiani</w:t>
      </w:r>
      <w:proofErr w:type="spellEnd"/>
      <w:r w:rsidR="00820EDA" w:rsidRPr="00820EDA">
        <w:rPr>
          <w:b/>
          <w:bCs/>
          <w:sz w:val="28"/>
          <w:szCs w:val="28"/>
        </w:rPr>
        <w:t xml:space="preserve">, </w:t>
      </w:r>
      <w:r w:rsidR="00820EDA" w:rsidRPr="00820EDA">
        <w:rPr>
          <w:rFonts w:eastAsia="Times New Roman" w:cstheme="minorHAnsi"/>
          <w:b/>
          <w:bCs/>
          <w:sz w:val="28"/>
          <w:szCs w:val="28"/>
          <w:lang w:val="en-CH" w:eastAsia="en-US"/>
        </w:rPr>
        <w:t>IBE (ex IBIMET) - CNR</w:t>
      </w:r>
      <w:r w:rsidR="00820EDA" w:rsidRPr="00820EDA">
        <w:rPr>
          <w:rFonts w:eastAsia="Times New Roman" w:cstheme="minorHAnsi"/>
          <w:b/>
          <w:bCs/>
          <w:sz w:val="28"/>
          <w:szCs w:val="28"/>
          <w:lang w:eastAsia="en-US"/>
        </w:rPr>
        <w:t>,</w:t>
      </w:r>
      <w:r w:rsidR="00820EDA" w:rsidRPr="00820EDA">
        <w:rPr>
          <w:rFonts w:eastAsia="Times New Roman" w:cstheme="minorHAnsi"/>
          <w:b/>
          <w:bCs/>
          <w:sz w:val="28"/>
          <w:szCs w:val="28"/>
          <w:lang w:val="en-CH" w:eastAsia="en-US"/>
        </w:rPr>
        <w:br/>
      </w:r>
      <w:r w:rsidR="00820EDA" w:rsidRPr="00820EDA">
        <w:rPr>
          <w:rFonts w:eastAsia="Times New Roman" w:cstheme="minorHAnsi"/>
          <w:b/>
          <w:bCs/>
          <w:sz w:val="28"/>
          <w:szCs w:val="28"/>
          <w:lang w:eastAsia="en-US"/>
        </w:rPr>
        <w:t>(</w:t>
      </w:r>
      <w:r w:rsidR="00820EDA" w:rsidRPr="00820EDA">
        <w:rPr>
          <w:rFonts w:eastAsia="Times New Roman" w:cstheme="minorHAnsi"/>
          <w:b/>
          <w:bCs/>
          <w:sz w:val="28"/>
          <w:szCs w:val="28"/>
          <w:lang w:val="en-CH" w:eastAsia="en-US"/>
        </w:rPr>
        <w:t>Istituto di BioEconomia - Consiglio Nazionale delle Ricerche</w:t>
      </w:r>
      <w:r w:rsidR="00820EDA" w:rsidRPr="00820EDA">
        <w:rPr>
          <w:rFonts w:cstheme="minorHAnsi"/>
          <w:b/>
          <w:bCs/>
          <w:sz w:val="28"/>
          <w:szCs w:val="28"/>
        </w:rPr>
        <w:t>)</w:t>
      </w:r>
    </w:p>
    <w:p w14:paraId="3D107AD3" w14:textId="07FD22E3" w:rsidR="00A55309" w:rsidRPr="00287E44" w:rsidRDefault="00A55309" w:rsidP="00E445E5">
      <w:pPr>
        <w:rPr>
          <w:b/>
          <w:bCs/>
          <w:sz w:val="28"/>
          <w:szCs w:val="28"/>
        </w:rPr>
      </w:pPr>
      <w:r w:rsidRPr="00287E44">
        <w:rPr>
          <w:b/>
          <w:bCs/>
          <w:sz w:val="28"/>
          <w:szCs w:val="28"/>
        </w:rPr>
        <w:t>Background to the theme:</w:t>
      </w:r>
    </w:p>
    <w:p w14:paraId="15301FF5" w14:textId="23C46FF5" w:rsidR="00A55309" w:rsidRPr="00287E44" w:rsidRDefault="00E51AAA" w:rsidP="00A5530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287E44">
        <w:rPr>
          <w:sz w:val="24"/>
          <w:szCs w:val="24"/>
        </w:rPr>
        <w:t xml:space="preserve">Credit transfer agreements are </w:t>
      </w:r>
      <w:r w:rsidR="00E34200" w:rsidRPr="00287E44">
        <w:rPr>
          <w:sz w:val="24"/>
          <w:szCs w:val="24"/>
        </w:rPr>
        <w:t xml:space="preserve">sometimes </w:t>
      </w:r>
      <w:r w:rsidRPr="00287E44">
        <w:rPr>
          <w:sz w:val="24"/>
          <w:szCs w:val="24"/>
        </w:rPr>
        <w:t xml:space="preserve">used by </w:t>
      </w:r>
      <w:r w:rsidR="00E34200" w:rsidRPr="00287E44">
        <w:rPr>
          <w:sz w:val="24"/>
          <w:szCs w:val="24"/>
        </w:rPr>
        <w:t xml:space="preserve">national and </w:t>
      </w:r>
      <w:r w:rsidRPr="00287E44">
        <w:rPr>
          <w:sz w:val="24"/>
          <w:szCs w:val="24"/>
        </w:rPr>
        <w:t xml:space="preserve">regional </w:t>
      </w:r>
      <w:r w:rsidR="00E34200" w:rsidRPr="00287E44">
        <w:rPr>
          <w:sz w:val="24"/>
          <w:szCs w:val="24"/>
        </w:rPr>
        <w:t xml:space="preserve">education </w:t>
      </w:r>
      <w:r w:rsidRPr="00287E44">
        <w:rPr>
          <w:sz w:val="24"/>
          <w:szCs w:val="24"/>
        </w:rPr>
        <w:t xml:space="preserve">consortiums to increase </w:t>
      </w:r>
      <w:r w:rsidR="00E34200" w:rsidRPr="00287E44">
        <w:rPr>
          <w:sz w:val="24"/>
          <w:szCs w:val="24"/>
        </w:rPr>
        <w:t>flexibility for students</w:t>
      </w:r>
      <w:r w:rsidRPr="00287E44">
        <w:rPr>
          <w:sz w:val="24"/>
          <w:szCs w:val="24"/>
        </w:rPr>
        <w:t xml:space="preserve">, offer alternative pathways to specializations, </w:t>
      </w:r>
      <w:r w:rsidR="00E34200" w:rsidRPr="00287E44">
        <w:rPr>
          <w:sz w:val="24"/>
          <w:szCs w:val="24"/>
        </w:rPr>
        <w:t xml:space="preserve">expand learning experiences, </w:t>
      </w:r>
      <w:r w:rsidRPr="00287E44">
        <w:rPr>
          <w:sz w:val="24"/>
          <w:szCs w:val="24"/>
        </w:rPr>
        <w:t>and generally bridge opportunity gaps.</w:t>
      </w:r>
    </w:p>
    <w:p w14:paraId="40249971" w14:textId="2E25485A" w:rsidR="00E51AAA" w:rsidRPr="00287E44" w:rsidRDefault="00E51AAA" w:rsidP="00A5530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287E44">
        <w:rPr>
          <w:sz w:val="24"/>
          <w:szCs w:val="24"/>
        </w:rPr>
        <w:t>Micro-credentials</w:t>
      </w:r>
      <w:r w:rsidR="00E34200" w:rsidRPr="00287E44">
        <w:rPr>
          <w:sz w:val="24"/>
          <w:szCs w:val="24"/>
        </w:rPr>
        <w:t xml:space="preserve"> in the form of certificate </w:t>
      </w:r>
      <w:proofErr w:type="spellStart"/>
      <w:r w:rsidR="00E34200" w:rsidRPr="00287E44">
        <w:rPr>
          <w:sz w:val="24"/>
          <w:szCs w:val="24"/>
        </w:rPr>
        <w:t>programmes</w:t>
      </w:r>
      <w:proofErr w:type="spellEnd"/>
      <w:r w:rsidR="00E34200" w:rsidRPr="00287E44">
        <w:rPr>
          <w:sz w:val="24"/>
          <w:szCs w:val="24"/>
        </w:rPr>
        <w:t xml:space="preserve"> smaller than traditional degrees allow professionals to gain </w:t>
      </w:r>
      <w:r w:rsidRPr="00287E44">
        <w:rPr>
          <w:sz w:val="24"/>
          <w:szCs w:val="24"/>
        </w:rPr>
        <w:t>specializations</w:t>
      </w:r>
      <w:r w:rsidR="00E34200" w:rsidRPr="00287E44">
        <w:rPr>
          <w:sz w:val="24"/>
          <w:szCs w:val="24"/>
        </w:rPr>
        <w:t xml:space="preserve"> more rapidly through formal learning. </w:t>
      </w:r>
    </w:p>
    <w:p w14:paraId="6720EDE2" w14:textId="2DFDDA5B" w:rsidR="00287E44" w:rsidRPr="00287E44" w:rsidRDefault="00E34200" w:rsidP="00E445E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287E44">
        <w:rPr>
          <w:sz w:val="24"/>
          <w:szCs w:val="24"/>
        </w:rPr>
        <w:t>Micro-credentials in the form of d</w:t>
      </w:r>
      <w:r w:rsidR="00E51AAA" w:rsidRPr="00287E44">
        <w:rPr>
          <w:sz w:val="24"/>
          <w:szCs w:val="24"/>
        </w:rPr>
        <w:t xml:space="preserve">igital open badges can provide evidence of finer-grained </w:t>
      </w:r>
      <w:r w:rsidRPr="00287E44">
        <w:rPr>
          <w:sz w:val="24"/>
          <w:szCs w:val="24"/>
        </w:rPr>
        <w:t>learning</w:t>
      </w:r>
      <w:r w:rsidR="00E51AAA" w:rsidRPr="00287E44">
        <w:rPr>
          <w:sz w:val="24"/>
          <w:szCs w:val="24"/>
        </w:rPr>
        <w:t xml:space="preserve"> achievements</w:t>
      </w:r>
      <w:r w:rsidRPr="00287E44">
        <w:rPr>
          <w:sz w:val="24"/>
          <w:szCs w:val="24"/>
        </w:rPr>
        <w:t xml:space="preserve"> within courses</w:t>
      </w:r>
      <w:r w:rsidR="00287E44" w:rsidRPr="00287E44">
        <w:rPr>
          <w:sz w:val="24"/>
          <w:szCs w:val="24"/>
        </w:rPr>
        <w:t xml:space="preserve"> and degree </w:t>
      </w:r>
      <w:proofErr w:type="spellStart"/>
      <w:r w:rsidR="00287E44" w:rsidRPr="00287E44">
        <w:rPr>
          <w:sz w:val="24"/>
          <w:szCs w:val="24"/>
        </w:rPr>
        <w:t>programmes</w:t>
      </w:r>
      <w:proofErr w:type="spellEnd"/>
      <w:r w:rsidR="00287E44" w:rsidRPr="00287E44">
        <w:rPr>
          <w:sz w:val="24"/>
          <w:szCs w:val="24"/>
        </w:rPr>
        <w:t xml:space="preserve">. For example, they might demonstrate that learning was accomplished in gaining specific competencies. Digital open badges can also be used to acknowledge skills obtained on the job. </w:t>
      </w:r>
      <w:r w:rsidRPr="00287E44">
        <w:rPr>
          <w:sz w:val="24"/>
          <w:szCs w:val="24"/>
        </w:rPr>
        <w:t xml:space="preserve"> </w:t>
      </w:r>
    </w:p>
    <w:p w14:paraId="05F855C9" w14:textId="77777777" w:rsidR="00287E44" w:rsidRPr="00287E44" w:rsidRDefault="00287E44" w:rsidP="00287E44">
      <w:pPr>
        <w:pStyle w:val="ListParagraph"/>
        <w:rPr>
          <w:b/>
          <w:bCs/>
          <w:sz w:val="24"/>
          <w:szCs w:val="24"/>
        </w:rPr>
      </w:pPr>
    </w:p>
    <w:p w14:paraId="35ADC385" w14:textId="7552D668" w:rsidR="00D21451" w:rsidRPr="00287E44" w:rsidRDefault="005D04B4" w:rsidP="00287E44">
      <w:pPr>
        <w:ind w:left="359"/>
        <w:rPr>
          <w:b/>
          <w:bCs/>
          <w:sz w:val="28"/>
          <w:szCs w:val="28"/>
        </w:rPr>
      </w:pPr>
      <w:r w:rsidRPr="00287E44">
        <w:rPr>
          <w:b/>
          <w:bCs/>
          <w:sz w:val="28"/>
          <w:szCs w:val="28"/>
        </w:rPr>
        <w:t>Goals/Desired Outcomes</w:t>
      </w:r>
      <w:r w:rsidR="00315531" w:rsidRPr="00287E44">
        <w:rPr>
          <w:b/>
          <w:bCs/>
          <w:sz w:val="28"/>
          <w:szCs w:val="28"/>
        </w:rPr>
        <w:t xml:space="preserve"> (to be enhanced or adjusted by the Working Group)</w:t>
      </w:r>
      <w:r w:rsidRPr="00287E44">
        <w:rPr>
          <w:b/>
          <w:bCs/>
          <w:sz w:val="28"/>
          <w:szCs w:val="28"/>
        </w:rPr>
        <w:t xml:space="preserve">: </w:t>
      </w:r>
    </w:p>
    <w:p w14:paraId="2632DB5A" w14:textId="1AA02823" w:rsidR="00366ED3" w:rsidRDefault="0084638C" w:rsidP="00FC49D9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</w:t>
      </w:r>
      <w:r w:rsidR="00F92F86">
        <w:rPr>
          <w:i/>
          <w:iCs/>
          <w:sz w:val="24"/>
          <w:szCs w:val="24"/>
        </w:rPr>
        <w:t>urrent and future professionals</w:t>
      </w:r>
      <w:r>
        <w:rPr>
          <w:i/>
          <w:iCs/>
          <w:sz w:val="24"/>
          <w:szCs w:val="24"/>
        </w:rPr>
        <w:t xml:space="preserve"> are provided</w:t>
      </w:r>
      <w:r w:rsidR="00F92F86">
        <w:rPr>
          <w:i/>
          <w:iCs/>
          <w:sz w:val="24"/>
          <w:szCs w:val="24"/>
        </w:rPr>
        <w:t xml:space="preserve"> </w:t>
      </w:r>
      <w:r w:rsidR="00366ED3">
        <w:rPr>
          <w:i/>
          <w:iCs/>
          <w:sz w:val="24"/>
          <w:szCs w:val="24"/>
        </w:rPr>
        <w:t>flexible path</w:t>
      </w:r>
      <w:r>
        <w:rPr>
          <w:i/>
          <w:iCs/>
          <w:sz w:val="24"/>
          <w:szCs w:val="24"/>
        </w:rPr>
        <w:t>way</w:t>
      </w:r>
      <w:r w:rsidR="00366ED3">
        <w:rPr>
          <w:i/>
          <w:iCs/>
          <w:sz w:val="24"/>
          <w:szCs w:val="24"/>
        </w:rPr>
        <w:t xml:space="preserve">s for obtaining and expanding upon qualifications. </w:t>
      </w:r>
    </w:p>
    <w:p w14:paraId="1A5A87E2" w14:textId="0D30911F" w:rsidR="005D04B4" w:rsidRDefault="001E6E30" w:rsidP="00FC49D9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Standards</w:t>
      </w:r>
      <w:r w:rsidR="00C244FD">
        <w:rPr>
          <w:i/>
          <w:iCs/>
          <w:sz w:val="24"/>
          <w:szCs w:val="24"/>
        </w:rPr>
        <w:t xml:space="preserve"> </w:t>
      </w:r>
      <w:r w:rsidR="0084638C">
        <w:rPr>
          <w:i/>
          <w:iCs/>
          <w:sz w:val="24"/>
          <w:szCs w:val="24"/>
        </w:rPr>
        <w:t xml:space="preserve">are </w:t>
      </w:r>
      <w:r w:rsidR="00C244FD">
        <w:rPr>
          <w:i/>
          <w:iCs/>
          <w:sz w:val="24"/>
          <w:szCs w:val="24"/>
        </w:rPr>
        <w:t>proposed and</w:t>
      </w:r>
      <w:r>
        <w:rPr>
          <w:i/>
          <w:iCs/>
          <w:sz w:val="24"/>
          <w:szCs w:val="24"/>
        </w:rPr>
        <w:t xml:space="preserve"> </w:t>
      </w:r>
      <w:r w:rsidR="00C244FD">
        <w:rPr>
          <w:i/>
          <w:iCs/>
          <w:sz w:val="24"/>
          <w:szCs w:val="24"/>
        </w:rPr>
        <w:t xml:space="preserve">generally </w:t>
      </w:r>
      <w:r>
        <w:rPr>
          <w:i/>
          <w:iCs/>
          <w:sz w:val="24"/>
          <w:szCs w:val="24"/>
        </w:rPr>
        <w:t>accepted for issuing micro-credentials (certificates</w:t>
      </w:r>
      <w:r w:rsidR="00366ED3">
        <w:rPr>
          <w:i/>
          <w:iCs/>
          <w:sz w:val="24"/>
          <w:szCs w:val="24"/>
        </w:rPr>
        <w:t xml:space="preserve"> or</w:t>
      </w:r>
      <w:r>
        <w:rPr>
          <w:i/>
          <w:iCs/>
          <w:sz w:val="24"/>
          <w:szCs w:val="24"/>
        </w:rPr>
        <w:t xml:space="preserve"> badges) that </w:t>
      </w:r>
      <w:r w:rsidR="00C244FD">
        <w:rPr>
          <w:i/>
          <w:iCs/>
          <w:sz w:val="24"/>
          <w:szCs w:val="24"/>
        </w:rPr>
        <w:t xml:space="preserve">help professionals demonstrate </w:t>
      </w:r>
      <w:r w:rsidR="00F92F86">
        <w:rPr>
          <w:i/>
          <w:iCs/>
          <w:sz w:val="24"/>
          <w:szCs w:val="24"/>
        </w:rPr>
        <w:t xml:space="preserve">to current and future employers </w:t>
      </w:r>
      <w:r w:rsidR="00C244FD">
        <w:rPr>
          <w:i/>
          <w:iCs/>
          <w:sz w:val="24"/>
          <w:szCs w:val="24"/>
        </w:rPr>
        <w:t>knowledge and skills gained</w:t>
      </w:r>
      <w:r w:rsidR="00F92F86">
        <w:rPr>
          <w:i/>
          <w:iCs/>
          <w:sz w:val="24"/>
          <w:szCs w:val="24"/>
        </w:rPr>
        <w:t xml:space="preserve"> outside standard degree </w:t>
      </w:r>
      <w:proofErr w:type="spellStart"/>
      <w:r w:rsidR="00F92F86">
        <w:rPr>
          <w:i/>
          <w:iCs/>
          <w:sz w:val="24"/>
          <w:szCs w:val="24"/>
        </w:rPr>
        <w:t>programmes</w:t>
      </w:r>
      <w:proofErr w:type="spellEnd"/>
      <w:r w:rsidR="00F92F86">
        <w:rPr>
          <w:i/>
          <w:iCs/>
          <w:sz w:val="24"/>
          <w:szCs w:val="24"/>
        </w:rPr>
        <w:t xml:space="preserve">. </w:t>
      </w:r>
    </w:p>
    <w:p w14:paraId="5950DB5C" w14:textId="200F823D" w:rsidR="006D5A6A" w:rsidRDefault="006D5A6A" w:rsidP="00FC49D9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New areas of study appropriate for micro-credentials </w:t>
      </w:r>
      <w:r w:rsidR="00BE4BC9">
        <w:rPr>
          <w:i/>
          <w:iCs/>
          <w:sz w:val="24"/>
          <w:szCs w:val="24"/>
        </w:rPr>
        <w:t xml:space="preserve">are </w:t>
      </w:r>
      <w:r>
        <w:rPr>
          <w:i/>
          <w:iCs/>
          <w:sz w:val="24"/>
          <w:szCs w:val="24"/>
        </w:rPr>
        <w:t>identified.</w:t>
      </w:r>
      <w:r w:rsidR="00F92F86" w:rsidRPr="00F92F86">
        <w:rPr>
          <w:i/>
          <w:iCs/>
          <w:sz w:val="24"/>
          <w:szCs w:val="24"/>
        </w:rPr>
        <w:t xml:space="preserve"> </w:t>
      </w:r>
      <w:r w:rsidR="00F92F86">
        <w:rPr>
          <w:i/>
          <w:iCs/>
          <w:sz w:val="24"/>
          <w:szCs w:val="24"/>
        </w:rPr>
        <w:t>These might address new and rapidly evolving skill areas that do not fit easily within existing degree programs and components of established WMO competency frameworks</w:t>
      </w:r>
      <w:r w:rsidR="00377207">
        <w:rPr>
          <w:i/>
          <w:iCs/>
          <w:sz w:val="24"/>
          <w:szCs w:val="24"/>
        </w:rPr>
        <w:t xml:space="preserve"> (or </w:t>
      </w:r>
      <w:r w:rsidR="00287E44">
        <w:rPr>
          <w:i/>
          <w:iCs/>
          <w:sz w:val="24"/>
          <w:szCs w:val="24"/>
        </w:rPr>
        <w:t>potentially</w:t>
      </w:r>
      <w:r w:rsidR="00377207">
        <w:rPr>
          <w:i/>
          <w:iCs/>
          <w:sz w:val="24"/>
          <w:szCs w:val="24"/>
        </w:rPr>
        <w:t xml:space="preserve"> revised BIP-M</w:t>
      </w:r>
      <w:r w:rsidR="00287E44">
        <w:rPr>
          <w:i/>
          <w:iCs/>
          <w:sz w:val="24"/>
          <w:szCs w:val="24"/>
        </w:rPr>
        <w:t xml:space="preserve"> and BIP-MT</w:t>
      </w:r>
      <w:r w:rsidR="00377207">
        <w:rPr>
          <w:i/>
          <w:iCs/>
          <w:sz w:val="24"/>
          <w:szCs w:val="24"/>
        </w:rPr>
        <w:t xml:space="preserve"> optional components)</w:t>
      </w:r>
      <w:r w:rsidR="00F92F86">
        <w:rPr>
          <w:i/>
          <w:iCs/>
          <w:sz w:val="24"/>
          <w:szCs w:val="24"/>
        </w:rPr>
        <w:t>.</w:t>
      </w:r>
    </w:p>
    <w:p w14:paraId="710336C5" w14:textId="14F89F27" w:rsidR="00C244FD" w:rsidRDefault="00C244FD" w:rsidP="00FC49D9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Courses and programs</w:t>
      </w:r>
      <w:r w:rsidR="00366ED3">
        <w:rPr>
          <w:i/>
          <w:iCs/>
          <w:sz w:val="24"/>
          <w:szCs w:val="24"/>
        </w:rPr>
        <w:t xml:space="preserve"> are offered</w:t>
      </w:r>
      <w:r>
        <w:rPr>
          <w:i/>
          <w:iCs/>
          <w:sz w:val="24"/>
          <w:szCs w:val="24"/>
        </w:rPr>
        <w:t xml:space="preserve"> for micro-credentials by </w:t>
      </w:r>
      <w:r w:rsidR="006D5A6A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 xml:space="preserve"> </w:t>
      </w:r>
      <w:r w:rsidR="00F92F86">
        <w:rPr>
          <w:i/>
          <w:iCs/>
          <w:sz w:val="24"/>
          <w:szCs w:val="24"/>
        </w:rPr>
        <w:t xml:space="preserve">growing </w:t>
      </w:r>
      <w:r>
        <w:rPr>
          <w:i/>
          <w:iCs/>
          <w:sz w:val="24"/>
          <w:szCs w:val="24"/>
        </w:rPr>
        <w:t xml:space="preserve">number of institutions. </w:t>
      </w:r>
    </w:p>
    <w:p w14:paraId="7BDDE5D2" w14:textId="6E65E57B" w:rsidR="00366ED3" w:rsidRDefault="00C244FD" w:rsidP="00FC49D9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One or more consortiums of institutions </w:t>
      </w:r>
      <w:r w:rsidR="00366ED3">
        <w:rPr>
          <w:i/>
          <w:iCs/>
          <w:sz w:val="24"/>
          <w:szCs w:val="24"/>
        </w:rPr>
        <w:t xml:space="preserve">establish </w:t>
      </w:r>
      <w:r>
        <w:rPr>
          <w:i/>
          <w:iCs/>
          <w:sz w:val="24"/>
          <w:szCs w:val="24"/>
        </w:rPr>
        <w:t>agreements to accept credits or credit equivalents for courses completed at other institutions</w:t>
      </w:r>
      <w:r w:rsidR="00BE4BC9">
        <w:rPr>
          <w:i/>
          <w:iCs/>
          <w:sz w:val="24"/>
          <w:szCs w:val="24"/>
        </w:rPr>
        <w:t xml:space="preserve"> with</w:t>
      </w:r>
      <w:r>
        <w:rPr>
          <w:i/>
          <w:iCs/>
          <w:sz w:val="24"/>
          <w:szCs w:val="24"/>
        </w:rPr>
        <w:t>in the consortium</w:t>
      </w:r>
    </w:p>
    <w:p w14:paraId="2F091BE7" w14:textId="56219B3D" w:rsidR="00C244FD" w:rsidRDefault="00BE4BC9" w:rsidP="00366102">
      <w:pPr>
        <w:pStyle w:val="ListParagrap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or </w:t>
      </w:r>
      <w:r w:rsidR="00366ED3">
        <w:rPr>
          <w:i/>
          <w:iCs/>
          <w:sz w:val="24"/>
          <w:szCs w:val="24"/>
        </w:rPr>
        <w:t xml:space="preserve">from </w:t>
      </w:r>
      <w:r>
        <w:rPr>
          <w:i/>
          <w:iCs/>
          <w:sz w:val="24"/>
          <w:szCs w:val="24"/>
        </w:rPr>
        <w:t>another recognized institution.</w:t>
      </w:r>
    </w:p>
    <w:p w14:paraId="6F5EF1EC" w14:textId="1B3C13E7" w:rsidR="00E54914" w:rsidRDefault="00366102" w:rsidP="00366102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366102">
        <w:rPr>
          <w:i/>
          <w:iCs/>
          <w:sz w:val="24"/>
          <w:szCs w:val="24"/>
        </w:rPr>
        <w:t xml:space="preserve">Training </w:t>
      </w:r>
      <w:r>
        <w:rPr>
          <w:i/>
          <w:iCs/>
          <w:sz w:val="24"/>
          <w:szCs w:val="24"/>
        </w:rPr>
        <w:t>institutions</w:t>
      </w:r>
      <w:r w:rsidRPr="00366102">
        <w:rPr>
          <w:i/>
          <w:iCs/>
          <w:sz w:val="24"/>
          <w:szCs w:val="24"/>
        </w:rPr>
        <w:t xml:space="preserve"> are </w:t>
      </w:r>
      <w:r>
        <w:rPr>
          <w:i/>
          <w:iCs/>
          <w:sz w:val="24"/>
          <w:szCs w:val="24"/>
        </w:rPr>
        <w:t xml:space="preserve">better </w:t>
      </w:r>
      <w:r w:rsidRPr="00366102">
        <w:rPr>
          <w:i/>
          <w:iCs/>
          <w:sz w:val="24"/>
          <w:szCs w:val="24"/>
        </w:rPr>
        <w:t xml:space="preserve">able to </w:t>
      </w:r>
      <w:r w:rsidR="00FE17D8">
        <w:rPr>
          <w:i/>
          <w:iCs/>
          <w:sz w:val="24"/>
          <w:szCs w:val="24"/>
        </w:rPr>
        <w:t>determine</w:t>
      </w:r>
      <w:r w:rsidRPr="00366102">
        <w:rPr>
          <w:i/>
          <w:iCs/>
          <w:sz w:val="24"/>
          <w:szCs w:val="24"/>
        </w:rPr>
        <w:t xml:space="preserve"> the </w:t>
      </w:r>
      <w:r>
        <w:rPr>
          <w:i/>
          <w:iCs/>
          <w:sz w:val="24"/>
          <w:szCs w:val="24"/>
        </w:rPr>
        <w:t>qualifications</w:t>
      </w:r>
      <w:r w:rsidRPr="00366102">
        <w:rPr>
          <w:i/>
          <w:iCs/>
          <w:sz w:val="24"/>
          <w:szCs w:val="24"/>
        </w:rPr>
        <w:t xml:space="preserve"> of </w:t>
      </w:r>
      <w:r w:rsidR="00377207">
        <w:rPr>
          <w:i/>
          <w:iCs/>
          <w:sz w:val="24"/>
          <w:szCs w:val="24"/>
        </w:rPr>
        <w:t xml:space="preserve">nominated </w:t>
      </w:r>
      <w:r w:rsidRPr="00366102">
        <w:rPr>
          <w:i/>
          <w:iCs/>
          <w:sz w:val="24"/>
          <w:szCs w:val="24"/>
        </w:rPr>
        <w:t xml:space="preserve">trainees </w:t>
      </w:r>
      <w:r>
        <w:rPr>
          <w:i/>
          <w:iCs/>
          <w:sz w:val="24"/>
          <w:szCs w:val="24"/>
        </w:rPr>
        <w:t>to</w:t>
      </w:r>
      <w:r w:rsidRPr="00366102">
        <w:rPr>
          <w:i/>
          <w:iCs/>
          <w:sz w:val="24"/>
          <w:szCs w:val="24"/>
        </w:rPr>
        <w:t xml:space="preserve"> improve selection processes</w:t>
      </w:r>
    </w:p>
    <w:p w14:paraId="6073A866" w14:textId="5A8F660E" w:rsidR="00366102" w:rsidRPr="00366102" w:rsidRDefault="00E54914" w:rsidP="00366102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Training institutions are able</w:t>
      </w:r>
      <w:r w:rsidR="00377207">
        <w:rPr>
          <w:i/>
          <w:iCs/>
          <w:sz w:val="24"/>
          <w:szCs w:val="24"/>
        </w:rPr>
        <w:t xml:space="preserve"> to</w:t>
      </w:r>
      <w:r w:rsidR="00366102" w:rsidRPr="00366102">
        <w:rPr>
          <w:i/>
          <w:iCs/>
          <w:sz w:val="24"/>
          <w:szCs w:val="24"/>
        </w:rPr>
        <w:t xml:space="preserve"> better target training offer</w:t>
      </w:r>
      <w:r w:rsidR="00377207">
        <w:rPr>
          <w:i/>
          <w:iCs/>
          <w:sz w:val="24"/>
          <w:szCs w:val="24"/>
        </w:rPr>
        <w:t>s</w:t>
      </w:r>
      <w:r w:rsidR="00366102" w:rsidRPr="00366102">
        <w:rPr>
          <w:i/>
          <w:iCs/>
          <w:sz w:val="24"/>
          <w:szCs w:val="24"/>
        </w:rPr>
        <w:t xml:space="preserve"> link</w:t>
      </w:r>
      <w:r w:rsidR="00FE17D8">
        <w:rPr>
          <w:i/>
          <w:iCs/>
          <w:sz w:val="24"/>
          <w:szCs w:val="24"/>
        </w:rPr>
        <w:t>ed to skills and knowledge desired by employers.</w:t>
      </w:r>
      <w:r w:rsidR="00366102" w:rsidRPr="00366102">
        <w:rPr>
          <w:i/>
          <w:iCs/>
          <w:sz w:val="24"/>
          <w:szCs w:val="24"/>
        </w:rPr>
        <w:t xml:space="preserve"> </w:t>
      </w:r>
    </w:p>
    <w:p w14:paraId="5E3173BB" w14:textId="32B6D92A" w:rsidR="00C244FD" w:rsidRPr="00E54914" w:rsidRDefault="00287E44" w:rsidP="00FC49D9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Professionals are better able to collect evidence of their professional development gained through short courses and on-the-job experiences. </w:t>
      </w:r>
    </w:p>
    <w:p w14:paraId="39676422" w14:textId="02485EFD" w:rsidR="00CB5797" w:rsidRPr="00CF6CCE" w:rsidRDefault="003062CF" w:rsidP="00E445E5">
      <w:pPr>
        <w:rPr>
          <w:b/>
          <w:bCs/>
          <w:sz w:val="28"/>
          <w:szCs w:val="28"/>
        </w:rPr>
      </w:pPr>
      <w:r w:rsidRPr="00CF6CCE">
        <w:rPr>
          <w:b/>
          <w:bCs/>
          <w:sz w:val="28"/>
          <w:szCs w:val="28"/>
        </w:rPr>
        <w:t xml:space="preserve">Example </w:t>
      </w:r>
      <w:r w:rsidR="00CB5797" w:rsidRPr="00CF6CCE">
        <w:rPr>
          <w:b/>
          <w:bCs/>
          <w:sz w:val="28"/>
          <w:szCs w:val="28"/>
        </w:rPr>
        <w:t>elements to consider</w:t>
      </w:r>
      <w:r w:rsidR="005D04B4" w:rsidRPr="00CF6CCE">
        <w:rPr>
          <w:b/>
          <w:bCs/>
          <w:sz w:val="28"/>
          <w:szCs w:val="28"/>
        </w:rPr>
        <w:t xml:space="preserve"> in the workplan (challenges to address, barriers to action, tasks to complete, resources required, etc.)</w:t>
      </w:r>
      <w:r w:rsidR="0037750D" w:rsidRPr="00CF6CCE">
        <w:rPr>
          <w:b/>
          <w:bCs/>
          <w:sz w:val="28"/>
          <w:szCs w:val="28"/>
        </w:rPr>
        <w:t xml:space="preserve"> Groups are encouraged to explore further</w:t>
      </w:r>
      <w:r w:rsidR="00CB5797" w:rsidRPr="00CF6CCE">
        <w:rPr>
          <w:b/>
          <w:bCs/>
          <w:sz w:val="28"/>
          <w:szCs w:val="28"/>
        </w:rPr>
        <w:t xml:space="preserve">: </w:t>
      </w:r>
    </w:p>
    <w:p w14:paraId="6E63A2D4" w14:textId="48F336C4" w:rsidR="001E6E30" w:rsidRPr="001E6E30" w:rsidRDefault="00BE4BC9" w:rsidP="001E6E30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opportunities exist for u</w:t>
      </w:r>
      <w:r w:rsidR="001E6E30" w:rsidRPr="001E6E30">
        <w:rPr>
          <w:i/>
          <w:iCs/>
          <w:sz w:val="24"/>
          <w:szCs w:val="24"/>
        </w:rPr>
        <w:t xml:space="preserve">niversities and other institutions </w:t>
      </w:r>
      <w:r>
        <w:rPr>
          <w:i/>
          <w:iCs/>
          <w:sz w:val="24"/>
          <w:szCs w:val="24"/>
        </w:rPr>
        <w:t>to offer</w:t>
      </w:r>
      <w:r w:rsidR="001E6E30" w:rsidRPr="001E6E30">
        <w:rPr>
          <w:i/>
          <w:iCs/>
          <w:sz w:val="24"/>
          <w:szCs w:val="24"/>
        </w:rPr>
        <w:t xml:space="preserve"> short certificate programs for specific skills more focused than traditional degree </w:t>
      </w:r>
      <w:proofErr w:type="spellStart"/>
      <w:r w:rsidR="001E6E30" w:rsidRPr="001E6E30">
        <w:rPr>
          <w:i/>
          <w:iCs/>
          <w:sz w:val="24"/>
          <w:szCs w:val="24"/>
        </w:rPr>
        <w:t>program</w:t>
      </w:r>
      <w:r w:rsidR="00F92F86">
        <w:rPr>
          <w:i/>
          <w:iCs/>
          <w:sz w:val="24"/>
          <w:szCs w:val="24"/>
        </w:rPr>
        <w:t>me</w:t>
      </w:r>
      <w:r w:rsidR="001E6E30" w:rsidRPr="001E6E30">
        <w:rPr>
          <w:i/>
          <w:iCs/>
          <w:sz w:val="24"/>
          <w:szCs w:val="24"/>
        </w:rPr>
        <w:t>s</w:t>
      </w:r>
      <w:proofErr w:type="spellEnd"/>
      <w:r w:rsidR="001E6E30" w:rsidRPr="001E6E30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which </w:t>
      </w:r>
      <w:r w:rsidR="0084638C">
        <w:rPr>
          <w:i/>
          <w:iCs/>
          <w:sz w:val="24"/>
          <w:szCs w:val="24"/>
        </w:rPr>
        <w:t xml:space="preserve">can </w:t>
      </w:r>
      <w:r>
        <w:rPr>
          <w:i/>
          <w:iCs/>
          <w:sz w:val="24"/>
          <w:szCs w:val="24"/>
        </w:rPr>
        <w:t xml:space="preserve">address </w:t>
      </w:r>
      <w:r w:rsidR="0084638C">
        <w:rPr>
          <w:i/>
          <w:iCs/>
          <w:sz w:val="24"/>
          <w:szCs w:val="24"/>
        </w:rPr>
        <w:t xml:space="preserve">prevalent </w:t>
      </w:r>
      <w:r>
        <w:rPr>
          <w:i/>
          <w:iCs/>
          <w:sz w:val="24"/>
          <w:szCs w:val="24"/>
        </w:rPr>
        <w:t>knowledge and skill gaps?</w:t>
      </w:r>
    </w:p>
    <w:p w14:paraId="38999852" w14:textId="5F11E111" w:rsidR="001E6E30" w:rsidRDefault="00BE4BC9" w:rsidP="001E6E30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How can we encourage c</w:t>
      </w:r>
      <w:r w:rsidR="001E6E30" w:rsidRPr="001E6E30">
        <w:rPr>
          <w:i/>
          <w:iCs/>
          <w:sz w:val="24"/>
          <w:szCs w:val="24"/>
        </w:rPr>
        <w:t xml:space="preserve">onsortiums of institutions </w:t>
      </w:r>
      <w:r w:rsidR="00CF6CCE">
        <w:rPr>
          <w:i/>
          <w:iCs/>
          <w:sz w:val="24"/>
          <w:szCs w:val="24"/>
        </w:rPr>
        <w:t xml:space="preserve">to be </w:t>
      </w:r>
      <w:r w:rsidR="001E6E30" w:rsidRPr="001E6E30">
        <w:rPr>
          <w:i/>
          <w:iCs/>
          <w:sz w:val="24"/>
          <w:szCs w:val="24"/>
        </w:rPr>
        <w:t xml:space="preserve">willing accept credits earned by students at other institutions </w:t>
      </w:r>
      <w:r w:rsidR="006D5A6A">
        <w:rPr>
          <w:i/>
          <w:iCs/>
          <w:sz w:val="24"/>
          <w:szCs w:val="24"/>
        </w:rPr>
        <w:t xml:space="preserve">within </w:t>
      </w:r>
      <w:r w:rsidR="001E6E30" w:rsidRPr="001E6E30">
        <w:rPr>
          <w:i/>
          <w:iCs/>
          <w:sz w:val="24"/>
          <w:szCs w:val="24"/>
        </w:rPr>
        <w:t>the consortium</w:t>
      </w:r>
      <w:r w:rsidRPr="00BE4BC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(or </w:t>
      </w:r>
      <w:r w:rsidR="00366ED3">
        <w:rPr>
          <w:i/>
          <w:iCs/>
          <w:sz w:val="24"/>
          <w:szCs w:val="24"/>
        </w:rPr>
        <w:t>from another</w:t>
      </w:r>
      <w:r>
        <w:rPr>
          <w:i/>
          <w:iCs/>
          <w:sz w:val="24"/>
          <w:szCs w:val="24"/>
        </w:rPr>
        <w:t xml:space="preserve"> recognized </w:t>
      </w:r>
      <w:r w:rsidR="00366ED3">
        <w:rPr>
          <w:i/>
          <w:iCs/>
          <w:sz w:val="24"/>
          <w:szCs w:val="24"/>
        </w:rPr>
        <w:t>institution</w:t>
      </w:r>
      <w:r>
        <w:rPr>
          <w:i/>
          <w:iCs/>
          <w:sz w:val="24"/>
          <w:szCs w:val="24"/>
        </w:rPr>
        <w:t>)?</w:t>
      </w:r>
    </w:p>
    <w:p w14:paraId="2B00F6CC" w14:textId="0EAE5094" w:rsidR="009830DA" w:rsidRDefault="00BE4BC9" w:rsidP="001E6E30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would encourage the adoption of</w:t>
      </w:r>
      <w:r w:rsidR="00F92F86">
        <w:rPr>
          <w:i/>
          <w:iCs/>
          <w:sz w:val="24"/>
          <w:szCs w:val="24"/>
        </w:rPr>
        <w:t xml:space="preserve"> </w:t>
      </w:r>
      <w:r w:rsidR="00CF6CCE">
        <w:rPr>
          <w:i/>
          <w:iCs/>
          <w:sz w:val="24"/>
          <w:szCs w:val="24"/>
        </w:rPr>
        <w:t>the use of</w:t>
      </w:r>
      <w:r>
        <w:rPr>
          <w:i/>
          <w:iCs/>
          <w:sz w:val="24"/>
          <w:szCs w:val="24"/>
        </w:rPr>
        <w:t xml:space="preserve"> o</w:t>
      </w:r>
      <w:r w:rsidR="001E6E30" w:rsidRPr="00E54914">
        <w:rPr>
          <w:i/>
          <w:iCs/>
          <w:sz w:val="24"/>
          <w:szCs w:val="24"/>
        </w:rPr>
        <w:t>pen digital badges</w:t>
      </w:r>
      <w:r w:rsidR="00F92F86">
        <w:rPr>
          <w:i/>
          <w:iCs/>
          <w:sz w:val="24"/>
          <w:szCs w:val="24"/>
        </w:rPr>
        <w:t xml:space="preserve"> as</w:t>
      </w:r>
      <w:r w:rsidR="001E6E30" w:rsidRPr="00E54914">
        <w:rPr>
          <w:i/>
          <w:iCs/>
          <w:sz w:val="24"/>
          <w:szCs w:val="24"/>
        </w:rPr>
        <w:t xml:space="preserve"> </w:t>
      </w:r>
      <w:r w:rsidR="00CF6CCE">
        <w:rPr>
          <w:i/>
          <w:iCs/>
          <w:sz w:val="24"/>
          <w:szCs w:val="24"/>
        </w:rPr>
        <w:t>micro-credentials</w:t>
      </w:r>
      <w:r w:rsidR="001E6E30" w:rsidRPr="00E54914">
        <w:rPr>
          <w:i/>
          <w:iCs/>
          <w:sz w:val="24"/>
          <w:szCs w:val="24"/>
        </w:rPr>
        <w:t xml:space="preserve"> for training related to specific </w:t>
      </w:r>
      <w:r w:rsidR="006D5A6A">
        <w:rPr>
          <w:i/>
          <w:iCs/>
          <w:sz w:val="24"/>
          <w:szCs w:val="24"/>
        </w:rPr>
        <w:t xml:space="preserve">WMO or other recognized </w:t>
      </w:r>
      <w:r w:rsidR="001E6E30" w:rsidRPr="00E54914">
        <w:rPr>
          <w:i/>
          <w:iCs/>
          <w:sz w:val="24"/>
          <w:szCs w:val="24"/>
        </w:rPr>
        <w:t>competenc</w:t>
      </w:r>
      <w:r w:rsidR="006D5A6A">
        <w:rPr>
          <w:i/>
          <w:iCs/>
          <w:sz w:val="24"/>
          <w:szCs w:val="24"/>
        </w:rPr>
        <w:t>y frameworks</w:t>
      </w:r>
      <w:r>
        <w:rPr>
          <w:i/>
          <w:iCs/>
          <w:sz w:val="24"/>
          <w:szCs w:val="24"/>
        </w:rPr>
        <w:t>?</w:t>
      </w:r>
    </w:p>
    <w:p w14:paraId="3395FD35" w14:textId="2E73D7AE" w:rsidR="001E6E30" w:rsidRPr="00E54914" w:rsidRDefault="00BB3CD6" w:rsidP="00E54914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What </w:t>
      </w:r>
      <w:r w:rsidR="00CF6CCE">
        <w:rPr>
          <w:i/>
          <w:iCs/>
          <w:sz w:val="24"/>
          <w:szCs w:val="24"/>
        </w:rPr>
        <w:t>can</w:t>
      </w:r>
      <w:r>
        <w:rPr>
          <w:i/>
          <w:iCs/>
          <w:sz w:val="24"/>
          <w:szCs w:val="24"/>
        </w:rPr>
        <w:t xml:space="preserve"> </w:t>
      </w:r>
      <w:r w:rsidR="001E6E30">
        <w:rPr>
          <w:i/>
          <w:iCs/>
          <w:sz w:val="24"/>
          <w:szCs w:val="24"/>
        </w:rPr>
        <w:t>course certificates</w:t>
      </w:r>
      <w:r>
        <w:rPr>
          <w:i/>
          <w:iCs/>
          <w:sz w:val="24"/>
          <w:szCs w:val="24"/>
        </w:rPr>
        <w:t xml:space="preserve"> </w:t>
      </w:r>
      <w:r w:rsidR="00CF6CCE">
        <w:rPr>
          <w:i/>
          <w:iCs/>
          <w:sz w:val="24"/>
          <w:szCs w:val="24"/>
        </w:rPr>
        <w:t>better</w:t>
      </w:r>
      <w:r w:rsidR="001E6E30">
        <w:rPr>
          <w:i/>
          <w:iCs/>
          <w:sz w:val="24"/>
          <w:szCs w:val="24"/>
        </w:rPr>
        <w:t xml:space="preserve"> indicat</w:t>
      </w:r>
      <w:r>
        <w:rPr>
          <w:i/>
          <w:iCs/>
          <w:sz w:val="24"/>
          <w:szCs w:val="24"/>
        </w:rPr>
        <w:t>e</w:t>
      </w:r>
      <w:r w:rsidR="001E6E30">
        <w:rPr>
          <w:i/>
          <w:iCs/>
          <w:sz w:val="24"/>
          <w:szCs w:val="24"/>
        </w:rPr>
        <w:t xml:space="preserve"> </w:t>
      </w:r>
      <w:r w:rsidR="00CF6CCE">
        <w:rPr>
          <w:i/>
          <w:iCs/>
          <w:sz w:val="24"/>
          <w:szCs w:val="24"/>
        </w:rPr>
        <w:t xml:space="preserve">that </w:t>
      </w:r>
      <w:r w:rsidR="001E6E30">
        <w:rPr>
          <w:i/>
          <w:iCs/>
          <w:sz w:val="24"/>
          <w:szCs w:val="24"/>
        </w:rPr>
        <w:t xml:space="preserve">international or national  competencies </w:t>
      </w:r>
      <w:r w:rsidR="00CF6CCE">
        <w:rPr>
          <w:i/>
          <w:iCs/>
          <w:sz w:val="24"/>
          <w:szCs w:val="24"/>
        </w:rPr>
        <w:t xml:space="preserve">were </w:t>
      </w:r>
      <w:r w:rsidR="001E6E30">
        <w:rPr>
          <w:i/>
          <w:iCs/>
          <w:sz w:val="24"/>
          <w:szCs w:val="24"/>
        </w:rPr>
        <w:t>addressed</w:t>
      </w:r>
      <w:r w:rsidR="00BE4BC9">
        <w:rPr>
          <w:i/>
          <w:iCs/>
          <w:sz w:val="24"/>
          <w:szCs w:val="24"/>
        </w:rPr>
        <w:t>?</w:t>
      </w:r>
    </w:p>
    <w:p w14:paraId="68D25C35" w14:textId="77777777" w:rsidR="00AF7125" w:rsidRDefault="00AF7125" w:rsidP="00AF7125">
      <w:pPr>
        <w:rPr>
          <w:b/>
          <w:bCs/>
          <w:sz w:val="28"/>
          <w:szCs w:val="28"/>
        </w:rPr>
      </w:pPr>
    </w:p>
    <w:p w14:paraId="27AA158E" w14:textId="118650B1" w:rsidR="00AF7125" w:rsidRPr="00A4426F" w:rsidRDefault="00AF7125" w:rsidP="00AF7125">
      <w:pPr>
        <w:rPr>
          <w:b/>
          <w:bCs/>
          <w:sz w:val="28"/>
          <w:szCs w:val="28"/>
        </w:rPr>
      </w:pPr>
      <w:r w:rsidRPr="00A4426F">
        <w:rPr>
          <w:b/>
          <w:bCs/>
          <w:sz w:val="28"/>
          <w:szCs w:val="28"/>
        </w:rPr>
        <w:t xml:space="preserve">Group Discussion </w:t>
      </w:r>
      <w:r>
        <w:rPr>
          <w:b/>
          <w:bCs/>
          <w:sz w:val="28"/>
          <w:szCs w:val="28"/>
        </w:rPr>
        <w:t>Prompts</w:t>
      </w:r>
    </w:p>
    <w:p w14:paraId="4309B397" w14:textId="77777777" w:rsidR="00AF7125" w:rsidRPr="0036438A" w:rsidRDefault="00AF7125" w:rsidP="00AF7125">
      <w:pPr>
        <w:rPr>
          <w:sz w:val="24"/>
          <w:szCs w:val="24"/>
        </w:rPr>
      </w:pPr>
      <w:r w:rsidRPr="0036438A">
        <w:rPr>
          <w:sz w:val="24"/>
          <w:szCs w:val="24"/>
        </w:rPr>
        <w:t>Challenges (What barriers exist to achieving goals?):</w:t>
      </w:r>
    </w:p>
    <w:p w14:paraId="663B7AE0" w14:textId="77777777" w:rsidR="00AF7125" w:rsidRPr="0036438A" w:rsidRDefault="00AF7125" w:rsidP="00AF7125">
      <w:pPr>
        <w:rPr>
          <w:sz w:val="24"/>
          <w:szCs w:val="24"/>
        </w:rPr>
      </w:pPr>
    </w:p>
    <w:p w14:paraId="12E5C71C" w14:textId="77777777" w:rsidR="00AF7125" w:rsidRPr="0036438A" w:rsidRDefault="00AF7125" w:rsidP="00AF7125">
      <w:pPr>
        <w:rPr>
          <w:sz w:val="24"/>
          <w:szCs w:val="24"/>
        </w:rPr>
      </w:pPr>
      <w:r w:rsidRPr="0036438A">
        <w:rPr>
          <w:sz w:val="24"/>
          <w:szCs w:val="24"/>
        </w:rPr>
        <w:t>Opportunities (From what examples can we learn? What existing initiatives can be drawn from?):</w:t>
      </w:r>
    </w:p>
    <w:p w14:paraId="14142796" w14:textId="77777777" w:rsidR="00AF7125" w:rsidRPr="0036438A" w:rsidRDefault="00AF7125" w:rsidP="00AF7125">
      <w:pPr>
        <w:rPr>
          <w:sz w:val="24"/>
          <w:szCs w:val="24"/>
        </w:rPr>
      </w:pPr>
    </w:p>
    <w:p w14:paraId="643F51A0" w14:textId="77777777" w:rsidR="00AF7125" w:rsidRPr="0036438A" w:rsidRDefault="00AF7125" w:rsidP="00AF7125">
      <w:pPr>
        <w:rPr>
          <w:sz w:val="24"/>
          <w:szCs w:val="24"/>
        </w:rPr>
      </w:pPr>
      <w:r w:rsidRPr="0036438A">
        <w:rPr>
          <w:sz w:val="24"/>
          <w:szCs w:val="24"/>
        </w:rPr>
        <w:t>Collaboration (How can collaborative action contribute?):</w:t>
      </w:r>
    </w:p>
    <w:p w14:paraId="6C2B4070" w14:textId="77777777" w:rsidR="00AF7125" w:rsidRPr="0036438A" w:rsidRDefault="00AF7125" w:rsidP="00AF7125">
      <w:pPr>
        <w:rPr>
          <w:sz w:val="24"/>
          <w:szCs w:val="24"/>
        </w:rPr>
      </w:pPr>
    </w:p>
    <w:p w14:paraId="5253F64F" w14:textId="77777777" w:rsidR="00AF7125" w:rsidRPr="0036438A" w:rsidRDefault="00AF7125" w:rsidP="00AF7125">
      <w:pPr>
        <w:rPr>
          <w:sz w:val="24"/>
          <w:szCs w:val="24"/>
        </w:rPr>
      </w:pPr>
      <w:r w:rsidRPr="0036438A">
        <w:rPr>
          <w:sz w:val="24"/>
          <w:szCs w:val="24"/>
        </w:rPr>
        <w:t>What steps might be required?:</w:t>
      </w:r>
    </w:p>
    <w:p w14:paraId="7A1D04A5" w14:textId="77777777" w:rsidR="00AF7125" w:rsidRPr="0036438A" w:rsidRDefault="00AF7125" w:rsidP="00AF7125">
      <w:pPr>
        <w:rPr>
          <w:sz w:val="24"/>
          <w:szCs w:val="24"/>
        </w:rPr>
      </w:pPr>
    </w:p>
    <w:p w14:paraId="59083FCE" w14:textId="2BB5DD07" w:rsidR="00AF7125" w:rsidRPr="00287E44" w:rsidRDefault="00AF7125" w:rsidP="00AF7125">
      <w:pPr>
        <w:rPr>
          <w:sz w:val="24"/>
          <w:szCs w:val="24"/>
        </w:rPr>
      </w:pPr>
      <w:r w:rsidRPr="0036438A">
        <w:rPr>
          <w:sz w:val="24"/>
          <w:szCs w:val="24"/>
        </w:rPr>
        <w:t>Who is willing to take responsibility to contribute? What contributions the can offer):</w:t>
      </w:r>
    </w:p>
    <w:p w14:paraId="2C84B946" w14:textId="77777777" w:rsidR="00AF7125" w:rsidRDefault="00AF7125" w:rsidP="00AF7125">
      <w:pPr>
        <w:rPr>
          <w:b/>
          <w:bCs/>
          <w:sz w:val="28"/>
          <w:szCs w:val="28"/>
        </w:rPr>
      </w:pPr>
    </w:p>
    <w:p w14:paraId="7AC47A6F" w14:textId="77777777" w:rsidR="00AF7125" w:rsidRPr="0036438A" w:rsidRDefault="00AF7125" w:rsidP="00AF7125">
      <w:pPr>
        <w:rPr>
          <w:b/>
          <w:bCs/>
          <w:sz w:val="28"/>
          <w:szCs w:val="28"/>
        </w:rPr>
      </w:pPr>
      <w:r w:rsidRPr="0036438A">
        <w:rPr>
          <w:b/>
          <w:bCs/>
          <w:sz w:val="28"/>
          <w:szCs w:val="28"/>
        </w:rPr>
        <w:t>Recommended Actions (Which recommendations does the group propose that could meet the chosen goals and contribute to the SYMET Statement?):</w:t>
      </w:r>
    </w:p>
    <w:p w14:paraId="527497A5" w14:textId="0540EE59" w:rsidR="0091284E" w:rsidRDefault="0091284E" w:rsidP="00782D8C"/>
    <w:sectPr w:rsidR="0091284E" w:rsidSect="00A4426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7EE8" w14:textId="77777777" w:rsidR="000F28B5" w:rsidRDefault="000F28B5" w:rsidP="00E445E5">
      <w:pPr>
        <w:spacing w:after="0" w:line="240" w:lineRule="auto"/>
      </w:pPr>
      <w:r>
        <w:separator/>
      </w:r>
    </w:p>
  </w:endnote>
  <w:endnote w:type="continuationSeparator" w:id="0">
    <w:p w14:paraId="29288141" w14:textId="77777777" w:rsidR="000F28B5" w:rsidRDefault="000F28B5" w:rsidP="00E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F60F" w14:textId="77777777" w:rsidR="000F28B5" w:rsidRDefault="000F28B5" w:rsidP="00E445E5">
      <w:pPr>
        <w:spacing w:after="0" w:line="240" w:lineRule="auto"/>
      </w:pPr>
      <w:r>
        <w:separator/>
      </w:r>
    </w:p>
  </w:footnote>
  <w:footnote w:type="continuationSeparator" w:id="0">
    <w:p w14:paraId="14753B77" w14:textId="77777777" w:rsidR="000F28B5" w:rsidRDefault="000F28B5" w:rsidP="00E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60B9" w14:textId="10085C36" w:rsidR="00E445E5" w:rsidRDefault="00E445E5">
    <w:pPr>
      <w:pStyle w:val="Header"/>
    </w:pPr>
    <w:r>
      <w:rPr>
        <w:noProof/>
      </w:rPr>
      <w:drawing>
        <wp:inline distT="0" distB="0" distL="0" distR="0" wp14:anchorId="448372E8" wp14:editId="01DC1516">
          <wp:extent cx="586854" cy="58685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31" cy="5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F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330E4"/>
    <w:multiLevelType w:val="hybridMultilevel"/>
    <w:tmpl w:val="8DC4F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F5A6E"/>
    <w:multiLevelType w:val="hybridMultilevel"/>
    <w:tmpl w:val="0BC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62D4D"/>
    <w:multiLevelType w:val="hybridMultilevel"/>
    <w:tmpl w:val="43B0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51B0F"/>
    <w:multiLevelType w:val="hybridMultilevel"/>
    <w:tmpl w:val="9904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C1E9E"/>
    <w:multiLevelType w:val="hybridMultilevel"/>
    <w:tmpl w:val="8F1CB102"/>
    <w:lvl w:ilvl="0" w:tplc="4002E0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A3ABA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BB4F8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20F8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0AA8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A876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DA62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8C49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EA491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4E"/>
    <w:rsid w:val="00023C59"/>
    <w:rsid w:val="00025A1C"/>
    <w:rsid w:val="00032424"/>
    <w:rsid w:val="00036F06"/>
    <w:rsid w:val="0007074D"/>
    <w:rsid w:val="000871E7"/>
    <w:rsid w:val="000D1683"/>
    <w:rsid w:val="000F28B5"/>
    <w:rsid w:val="0016139D"/>
    <w:rsid w:val="00184E63"/>
    <w:rsid w:val="001E6E30"/>
    <w:rsid w:val="0020294B"/>
    <w:rsid w:val="00287E44"/>
    <w:rsid w:val="002B03CF"/>
    <w:rsid w:val="003062CF"/>
    <w:rsid w:val="00315531"/>
    <w:rsid w:val="00334147"/>
    <w:rsid w:val="00346C75"/>
    <w:rsid w:val="00363B03"/>
    <w:rsid w:val="00366102"/>
    <w:rsid w:val="00366ED3"/>
    <w:rsid w:val="00377207"/>
    <w:rsid w:val="0037750D"/>
    <w:rsid w:val="003E411D"/>
    <w:rsid w:val="004B4BB0"/>
    <w:rsid w:val="004B720D"/>
    <w:rsid w:val="00524AF9"/>
    <w:rsid w:val="00526791"/>
    <w:rsid w:val="005367D5"/>
    <w:rsid w:val="005D04B4"/>
    <w:rsid w:val="005E42CF"/>
    <w:rsid w:val="0061104E"/>
    <w:rsid w:val="00625A60"/>
    <w:rsid w:val="0063718E"/>
    <w:rsid w:val="0068079B"/>
    <w:rsid w:val="006B2984"/>
    <w:rsid w:val="006D5A6A"/>
    <w:rsid w:val="006F51DB"/>
    <w:rsid w:val="007061C1"/>
    <w:rsid w:val="00732601"/>
    <w:rsid w:val="00767D3A"/>
    <w:rsid w:val="00782D8C"/>
    <w:rsid w:val="00792833"/>
    <w:rsid w:val="00820EDA"/>
    <w:rsid w:val="0084638C"/>
    <w:rsid w:val="008D4BA2"/>
    <w:rsid w:val="0091284E"/>
    <w:rsid w:val="00960624"/>
    <w:rsid w:val="009830DA"/>
    <w:rsid w:val="0099215E"/>
    <w:rsid w:val="009B3F24"/>
    <w:rsid w:val="00A4426F"/>
    <w:rsid w:val="00A55309"/>
    <w:rsid w:val="00AE4F56"/>
    <w:rsid w:val="00AF60C9"/>
    <w:rsid w:val="00AF7125"/>
    <w:rsid w:val="00B014DF"/>
    <w:rsid w:val="00B0794C"/>
    <w:rsid w:val="00B21E45"/>
    <w:rsid w:val="00B328D6"/>
    <w:rsid w:val="00B32A14"/>
    <w:rsid w:val="00BB3CD6"/>
    <w:rsid w:val="00BC7881"/>
    <w:rsid w:val="00BE4BC9"/>
    <w:rsid w:val="00C05FF1"/>
    <w:rsid w:val="00C244FD"/>
    <w:rsid w:val="00C70E76"/>
    <w:rsid w:val="00C876AB"/>
    <w:rsid w:val="00CB5797"/>
    <w:rsid w:val="00CF6CCE"/>
    <w:rsid w:val="00D031B5"/>
    <w:rsid w:val="00D21451"/>
    <w:rsid w:val="00D23A0A"/>
    <w:rsid w:val="00E01592"/>
    <w:rsid w:val="00E34200"/>
    <w:rsid w:val="00E445E5"/>
    <w:rsid w:val="00E51AAA"/>
    <w:rsid w:val="00E53418"/>
    <w:rsid w:val="00E54914"/>
    <w:rsid w:val="00E76535"/>
    <w:rsid w:val="00E77299"/>
    <w:rsid w:val="00E83794"/>
    <w:rsid w:val="00F355F7"/>
    <w:rsid w:val="00F616C8"/>
    <w:rsid w:val="00F75C8D"/>
    <w:rsid w:val="00F92F86"/>
    <w:rsid w:val="00FC49D9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C5F4C"/>
  <w15:docId w15:val="{38498D24-37AE-4503-9F43-83A8BEA1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355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0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451"/>
    <w:pPr>
      <w:ind w:left="720"/>
      <w:contextualSpacing/>
    </w:pPr>
  </w:style>
  <w:style w:type="paragraph" w:styleId="Revision">
    <w:name w:val="Revision"/>
    <w:hidden/>
    <w:uiPriority w:val="99"/>
    <w:semiHidden/>
    <w:rsid w:val="00960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ACF6D791E414B88E597AE82AD43EB" ma:contentTypeVersion="13" ma:contentTypeDescription="Create a new document." ma:contentTypeScope="" ma:versionID="844af0807fe04c88cec59c1c52f8c372">
  <xsd:schema xmlns:xsd="http://www.w3.org/2001/XMLSchema" xmlns:xs="http://www.w3.org/2001/XMLSchema" xmlns:p="http://schemas.microsoft.com/office/2006/metadata/properties" xmlns:ns3="5047777c-43f9-4346-ba73-e7356716cfa6" xmlns:ns4="e0e97e8b-f765-4c21-9e5d-c6b17ee0650c" targetNamespace="http://schemas.microsoft.com/office/2006/metadata/properties" ma:root="true" ma:fieldsID="73f6ebffb0d84b87f34259aa2ff402bd" ns3:_="" ns4:_="">
    <xsd:import namespace="5047777c-43f9-4346-ba73-e7356716cfa6"/>
    <xsd:import namespace="e0e97e8b-f765-4c21-9e5d-c6b17ee065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7777c-43f9-4346-ba73-e7356716c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7e8b-f765-4c21-9e5d-c6b17ee06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2D6D0-51DE-4A58-AF22-B4C45D6A3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6BBE7-578E-4B2A-9181-A0C3B9F25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5B409-F3F3-4FF4-8330-0AD177480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7777c-43f9-4346-ba73-e7356716cfa6"/>
    <ds:schemaRef ds:uri="e0e97e8b-f765-4c21-9e5d-c6b17ee06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2</cp:revision>
  <cp:lastPrinted>2019-10-09T13:04:00Z</cp:lastPrinted>
  <dcterms:created xsi:type="dcterms:W3CDTF">2021-11-09T11:19:00Z</dcterms:created>
  <dcterms:modified xsi:type="dcterms:W3CDTF">2021-11-09T11:19:00Z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0x010100EEBACF6D791E414B88E597AE82AD43EB</vt:lpwstr>
  </property>
</Properties>
</file>