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1DCF" w14:textId="77777777" w:rsidR="00834529" w:rsidRDefault="00834529" w:rsidP="008B7DE0">
      <w:pPr>
        <w:rPr>
          <w:rFonts w:ascii="Arial" w:eastAsia="Times New Roman" w:hAnsi="Arial" w:cs="Arial"/>
          <w:color w:val="000000"/>
          <w:sz w:val="22"/>
          <w:szCs w:val="22"/>
          <w:lang w:eastAsia="en-GB"/>
        </w:rPr>
      </w:pPr>
    </w:p>
    <w:p w14:paraId="24C60D4B" w14:textId="0D7E7E18"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Discussion Results - Thematic areas, </w:t>
      </w:r>
      <w:proofErr w:type="gramStart"/>
      <w:r w:rsidRPr="00834529">
        <w:rPr>
          <w:rFonts w:ascii="Arial" w:eastAsia="Times New Roman" w:hAnsi="Arial" w:cs="Arial"/>
          <w:color w:val="000000"/>
          <w:sz w:val="22"/>
          <w:szCs w:val="22"/>
          <w:lang w:eastAsia="en-GB"/>
        </w:rPr>
        <w:t>opportunities</w:t>
      </w:r>
      <w:proofErr w:type="gramEnd"/>
      <w:r w:rsidRPr="00834529">
        <w:rPr>
          <w:rFonts w:ascii="Arial" w:eastAsia="Times New Roman" w:hAnsi="Arial" w:cs="Arial"/>
          <w:color w:val="000000"/>
          <w:sz w:val="22"/>
          <w:szCs w:val="22"/>
          <w:lang w:eastAsia="en-GB"/>
        </w:rPr>
        <w:t xml:space="preserve"> and recommended actions</w:t>
      </w:r>
    </w:p>
    <w:p w14:paraId="2773195F" w14:textId="77777777" w:rsidR="00834529" w:rsidRDefault="00834529" w:rsidP="008B7DE0">
      <w:pPr>
        <w:rPr>
          <w:rFonts w:ascii="Arial" w:eastAsia="Times New Roman" w:hAnsi="Arial" w:cs="Arial"/>
          <w:color w:val="000000"/>
          <w:sz w:val="22"/>
          <w:szCs w:val="22"/>
          <w:lang w:eastAsia="en-GB"/>
        </w:rPr>
      </w:pPr>
    </w:p>
    <w:p w14:paraId="5CF8BA48" w14:textId="5A5C714A" w:rsidR="008B7DE0"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Items discussed during this session varied across many of the thematic areas that had been proposed and, in most cases, are applicable to the broader community. Focus was on the theme of regional needs for the professional development of (operational) staff as well that of Education and Training personnel. The following items were discussed:</w:t>
      </w:r>
    </w:p>
    <w:p w14:paraId="010DE7B3" w14:textId="77777777" w:rsidR="00834529" w:rsidRPr="00834529" w:rsidRDefault="00834529" w:rsidP="008B7DE0">
      <w:pPr>
        <w:rPr>
          <w:rFonts w:ascii="Arial" w:eastAsia="Times New Roman" w:hAnsi="Arial" w:cs="Arial"/>
          <w:color w:val="000000"/>
          <w:sz w:val="22"/>
          <w:szCs w:val="22"/>
          <w:lang w:eastAsia="en-GB"/>
        </w:rPr>
      </w:pPr>
    </w:p>
    <w:p w14:paraId="4D0F334C"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u w:val="single"/>
          <w:lang w:eastAsia="en-GB"/>
        </w:rPr>
        <w:t>1.Transitioning to new technologies</w:t>
      </w:r>
      <w:r w:rsidRPr="00834529">
        <w:rPr>
          <w:rFonts w:ascii="Arial" w:eastAsia="Times New Roman" w:hAnsi="Arial" w:cs="Arial"/>
          <w:color w:val="000000"/>
          <w:sz w:val="22"/>
          <w:szCs w:val="22"/>
          <w:lang w:eastAsia="en-GB"/>
        </w:rPr>
        <w:t xml:space="preserve"> (or integration of), approaches and/or practices in forecasting all the while training new personnel</w:t>
      </w:r>
    </w:p>
    <w:p w14:paraId="1A3A184F" w14:textId="77777777" w:rsidR="00834529" w:rsidRDefault="00834529" w:rsidP="008B7DE0">
      <w:pPr>
        <w:ind w:firstLine="720"/>
        <w:rPr>
          <w:rFonts w:ascii="Arial" w:eastAsia="Times New Roman" w:hAnsi="Arial" w:cs="Arial"/>
          <w:b/>
          <w:bCs/>
          <w:color w:val="000000"/>
          <w:sz w:val="22"/>
          <w:szCs w:val="22"/>
          <w:u w:val="single"/>
          <w:lang w:eastAsia="en-GB"/>
        </w:rPr>
      </w:pPr>
    </w:p>
    <w:p w14:paraId="5B2FCDF7" w14:textId="1D4925C1"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xml:space="preserve">: Cultural or individual idiosyncrasies may limit the adoption of new practices </w:t>
      </w:r>
    </w:p>
    <w:p w14:paraId="7DA8A92B" w14:textId="77777777" w:rsidR="00834529" w:rsidRDefault="00834529" w:rsidP="008B7DE0">
      <w:pPr>
        <w:ind w:firstLine="720"/>
        <w:rPr>
          <w:rFonts w:ascii="Arial" w:eastAsia="Times New Roman" w:hAnsi="Arial" w:cs="Arial"/>
          <w:b/>
          <w:bCs/>
          <w:color w:val="000000"/>
          <w:sz w:val="22"/>
          <w:szCs w:val="22"/>
          <w:lang w:eastAsia="en-GB"/>
        </w:rPr>
      </w:pPr>
    </w:p>
    <w:p w14:paraId="53FD5106" w14:textId="41C35535"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lang w:eastAsia="en-GB"/>
        </w:rPr>
        <w:t>Opportunities</w:t>
      </w:r>
      <w:r w:rsidRPr="00834529">
        <w:rPr>
          <w:rFonts w:ascii="Arial" w:eastAsia="Times New Roman" w:hAnsi="Arial" w:cs="Arial"/>
          <w:color w:val="000000"/>
          <w:sz w:val="22"/>
          <w:szCs w:val="22"/>
          <w:lang w:eastAsia="en-GB"/>
        </w:rPr>
        <w:t xml:space="preserve">: </w:t>
      </w:r>
    </w:p>
    <w:p w14:paraId="381A3A48"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Applying ‘on-the-job’ practices within a regional or local </w:t>
      </w:r>
      <w:proofErr w:type="gramStart"/>
      <w:r w:rsidRPr="00834529">
        <w:rPr>
          <w:rFonts w:ascii="Arial" w:eastAsia="Times New Roman" w:hAnsi="Arial" w:cs="Arial"/>
          <w:color w:val="000000"/>
          <w:sz w:val="22"/>
          <w:szCs w:val="22"/>
          <w:lang w:eastAsia="en-GB"/>
        </w:rPr>
        <w:t>focus;</w:t>
      </w:r>
      <w:proofErr w:type="gramEnd"/>
      <w:r w:rsidRPr="00834529">
        <w:rPr>
          <w:rFonts w:ascii="Arial" w:eastAsia="Times New Roman" w:hAnsi="Arial" w:cs="Arial"/>
          <w:color w:val="000000"/>
          <w:sz w:val="22"/>
          <w:szCs w:val="22"/>
          <w:lang w:eastAsia="en-GB"/>
        </w:rPr>
        <w:t xml:space="preserve"> </w:t>
      </w:r>
    </w:p>
    <w:p w14:paraId="613AB399"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Expectations regarding active participation.</w:t>
      </w:r>
    </w:p>
    <w:p w14:paraId="2408CD73"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Follow up opportunities to share the acquired knowledge through involvement in train-the-trainer </w:t>
      </w:r>
      <w:proofErr w:type="gramStart"/>
      <w:r w:rsidRPr="00834529">
        <w:rPr>
          <w:rFonts w:ascii="Arial" w:eastAsia="Times New Roman" w:hAnsi="Arial" w:cs="Arial"/>
          <w:color w:val="000000"/>
          <w:sz w:val="22"/>
          <w:szCs w:val="22"/>
          <w:lang w:eastAsia="en-GB"/>
        </w:rPr>
        <w:t>activities;</w:t>
      </w:r>
      <w:proofErr w:type="gramEnd"/>
    </w:p>
    <w:p w14:paraId="00BE7897"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Training should be interactive, </w:t>
      </w:r>
      <w:proofErr w:type="gramStart"/>
      <w:r w:rsidRPr="00834529">
        <w:rPr>
          <w:rFonts w:ascii="Arial" w:eastAsia="Times New Roman" w:hAnsi="Arial" w:cs="Arial"/>
          <w:color w:val="000000"/>
          <w:sz w:val="22"/>
          <w:szCs w:val="22"/>
          <w:lang w:eastAsia="en-GB"/>
        </w:rPr>
        <w:t>short</w:t>
      </w:r>
      <w:proofErr w:type="gramEnd"/>
      <w:r w:rsidRPr="00834529">
        <w:rPr>
          <w:rFonts w:ascii="Arial" w:eastAsia="Times New Roman" w:hAnsi="Arial" w:cs="Arial"/>
          <w:color w:val="000000"/>
          <w:sz w:val="22"/>
          <w:szCs w:val="22"/>
          <w:lang w:eastAsia="en-GB"/>
        </w:rPr>
        <w:t xml:space="preserve"> and focussed</w:t>
      </w:r>
    </w:p>
    <w:p w14:paraId="2624FB18"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Availability of training in multiple languages is required</w:t>
      </w:r>
    </w:p>
    <w:p w14:paraId="73C19112" w14:textId="77777777" w:rsidR="008B7DE0" w:rsidRPr="00834529" w:rsidRDefault="008B7DE0" w:rsidP="008B7DE0">
      <w:pPr>
        <w:pStyle w:val="Paragraphedeliste"/>
        <w:rPr>
          <w:rFonts w:ascii="Arial" w:eastAsia="Times New Roman" w:hAnsi="Arial" w:cs="Arial"/>
          <w:color w:val="000000"/>
          <w:sz w:val="22"/>
          <w:szCs w:val="22"/>
          <w:lang w:eastAsia="en-GB"/>
        </w:rPr>
      </w:pPr>
    </w:p>
    <w:p w14:paraId="63E76493" w14:textId="77777777" w:rsidR="008B7DE0" w:rsidRPr="00834529" w:rsidRDefault="008B7DE0" w:rsidP="008B7DE0">
      <w:pPr>
        <w:pStyle w:val="Paragraphedeliste"/>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Examples: Regional Focus groups and virtual forums</w:t>
      </w:r>
    </w:p>
    <w:p w14:paraId="11F4F9C9" w14:textId="77777777" w:rsidR="00834529" w:rsidRDefault="00834529" w:rsidP="008B7DE0">
      <w:pPr>
        <w:rPr>
          <w:rFonts w:ascii="Arial" w:eastAsia="Times New Roman" w:hAnsi="Arial" w:cs="Arial"/>
          <w:b/>
          <w:bCs/>
          <w:color w:val="000000"/>
          <w:sz w:val="22"/>
          <w:szCs w:val="22"/>
          <w:lang w:eastAsia="en-GB"/>
        </w:rPr>
      </w:pPr>
    </w:p>
    <w:p w14:paraId="3F0A3564" w14:textId="05A12429"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Recommended Action 1:</w:t>
      </w:r>
    </w:p>
    <w:p w14:paraId="05AF1CF1"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The adoption of new technologies within the workflow of personnel should be supported by dynamic training which may include the opportunity, for the trainee, to further share the acquired knowledge and developed competencies with others, as per train the trainer activities. </w:t>
      </w:r>
    </w:p>
    <w:p w14:paraId="12C150E5" w14:textId="77777777" w:rsidR="00834529" w:rsidRDefault="00834529" w:rsidP="008B7DE0">
      <w:pPr>
        <w:ind w:firstLine="720"/>
        <w:rPr>
          <w:rFonts w:ascii="Arial" w:eastAsia="Times New Roman" w:hAnsi="Arial" w:cs="Arial"/>
          <w:b/>
          <w:bCs/>
          <w:color w:val="000000"/>
          <w:sz w:val="22"/>
          <w:szCs w:val="22"/>
          <w:u w:val="single"/>
          <w:lang w:eastAsia="en-GB"/>
        </w:rPr>
      </w:pPr>
    </w:p>
    <w:p w14:paraId="29F5F456" w14:textId="7E1F5308"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Technology available but not accessible or easily integrated</w:t>
      </w:r>
    </w:p>
    <w:p w14:paraId="177F420F" w14:textId="77777777" w:rsidR="00834529" w:rsidRDefault="00834529" w:rsidP="008B7DE0">
      <w:pPr>
        <w:ind w:firstLine="720"/>
        <w:rPr>
          <w:rFonts w:ascii="Arial" w:eastAsia="Times New Roman" w:hAnsi="Arial" w:cs="Arial"/>
          <w:b/>
          <w:bCs/>
          <w:color w:val="000000"/>
          <w:sz w:val="22"/>
          <w:szCs w:val="22"/>
          <w:lang w:eastAsia="en-GB"/>
        </w:rPr>
      </w:pPr>
    </w:p>
    <w:p w14:paraId="5BAB5637" w14:textId="4A6ECB6F"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lang w:eastAsia="en-GB"/>
        </w:rPr>
        <w:t>Opportunities</w:t>
      </w:r>
      <w:r w:rsidRPr="00834529">
        <w:rPr>
          <w:rFonts w:ascii="Arial" w:eastAsia="Times New Roman" w:hAnsi="Arial" w:cs="Arial"/>
          <w:color w:val="000000"/>
          <w:sz w:val="22"/>
          <w:szCs w:val="22"/>
          <w:lang w:eastAsia="en-GB"/>
        </w:rPr>
        <w:t>:</w:t>
      </w:r>
    </w:p>
    <w:p w14:paraId="5717670D" w14:textId="77777777" w:rsidR="008B7DE0" w:rsidRPr="00834529" w:rsidRDefault="008B7DE0" w:rsidP="008B7DE0">
      <w:pPr>
        <w:ind w:left="720"/>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Use of cloud technology when applicable, </w:t>
      </w:r>
      <w:proofErr w:type="gramStart"/>
      <w:r w:rsidRPr="00834529">
        <w:rPr>
          <w:rFonts w:ascii="Arial" w:eastAsia="Times New Roman" w:hAnsi="Arial" w:cs="Arial"/>
          <w:color w:val="000000"/>
          <w:sz w:val="22"/>
          <w:szCs w:val="22"/>
          <w:lang w:eastAsia="en-GB"/>
        </w:rPr>
        <w:t>available</w:t>
      </w:r>
      <w:proofErr w:type="gramEnd"/>
      <w:r w:rsidRPr="00834529">
        <w:rPr>
          <w:rFonts w:ascii="Arial" w:eastAsia="Times New Roman" w:hAnsi="Arial" w:cs="Arial"/>
          <w:color w:val="000000"/>
          <w:sz w:val="22"/>
          <w:szCs w:val="22"/>
          <w:lang w:eastAsia="en-GB"/>
        </w:rPr>
        <w:t xml:space="preserve"> or required has increased as a function of the pandemic’s impact on work and training practices done remotely.</w:t>
      </w:r>
    </w:p>
    <w:p w14:paraId="4F0C10CA" w14:textId="77777777" w:rsidR="00834529" w:rsidRDefault="00834529" w:rsidP="008B7DE0">
      <w:pPr>
        <w:rPr>
          <w:rFonts w:ascii="Arial" w:eastAsia="Times New Roman" w:hAnsi="Arial" w:cs="Arial"/>
          <w:b/>
          <w:bCs/>
          <w:color w:val="000000"/>
          <w:sz w:val="22"/>
          <w:szCs w:val="22"/>
          <w:lang w:eastAsia="en-GB"/>
        </w:rPr>
      </w:pPr>
    </w:p>
    <w:p w14:paraId="37D94D37" w14:textId="08160009"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Recommended Action 2:</w:t>
      </w:r>
    </w:p>
    <w:p w14:paraId="26741B9C"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Opportunities to using cloud technology for other and more diverse training should be considered and include support in its use</w:t>
      </w:r>
    </w:p>
    <w:p w14:paraId="4C0EE7EF" w14:textId="77777777" w:rsidR="00834529" w:rsidRDefault="00834529" w:rsidP="008B7DE0">
      <w:pPr>
        <w:ind w:firstLine="720"/>
        <w:rPr>
          <w:rFonts w:ascii="Arial" w:eastAsia="Times New Roman" w:hAnsi="Arial" w:cs="Arial"/>
          <w:b/>
          <w:bCs/>
          <w:color w:val="000000"/>
          <w:sz w:val="22"/>
          <w:szCs w:val="22"/>
          <w:u w:val="single"/>
          <w:lang w:eastAsia="en-GB"/>
        </w:rPr>
      </w:pPr>
    </w:p>
    <w:p w14:paraId="4F540756" w14:textId="1CED0614"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Impacts of retirements on the availability of expertise within NMHSs and the training community</w:t>
      </w:r>
    </w:p>
    <w:p w14:paraId="77F9DF1B" w14:textId="77777777" w:rsidR="00834529" w:rsidRDefault="00834529" w:rsidP="008B7DE0">
      <w:pPr>
        <w:ind w:left="720"/>
        <w:rPr>
          <w:rFonts w:ascii="Arial" w:eastAsia="Times New Roman" w:hAnsi="Arial" w:cs="Arial"/>
          <w:color w:val="000000"/>
          <w:sz w:val="22"/>
          <w:szCs w:val="22"/>
          <w:lang w:eastAsia="en-GB"/>
        </w:rPr>
      </w:pPr>
    </w:p>
    <w:p w14:paraId="65AA5C03" w14:textId="534422DA" w:rsidR="008B7DE0" w:rsidRPr="00834529" w:rsidRDefault="008B7DE0" w:rsidP="008B7DE0">
      <w:pPr>
        <w:ind w:left="720"/>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This situation is of concern for some organisations in RA-IV </w:t>
      </w:r>
      <w:proofErr w:type="gramStart"/>
      <w:r w:rsidRPr="00834529">
        <w:rPr>
          <w:rFonts w:ascii="Arial" w:eastAsia="Times New Roman" w:hAnsi="Arial" w:cs="Arial"/>
          <w:color w:val="000000"/>
          <w:sz w:val="22"/>
          <w:szCs w:val="22"/>
          <w:lang w:eastAsia="en-GB"/>
        </w:rPr>
        <w:t>in particular in</w:t>
      </w:r>
      <w:proofErr w:type="gramEnd"/>
      <w:r w:rsidRPr="00834529">
        <w:rPr>
          <w:rFonts w:ascii="Arial" w:eastAsia="Times New Roman" w:hAnsi="Arial" w:cs="Arial"/>
          <w:color w:val="000000"/>
          <w:sz w:val="22"/>
          <w:szCs w:val="22"/>
          <w:lang w:eastAsia="en-GB"/>
        </w:rPr>
        <w:t xml:space="preserve"> a time of changing technologies and functions and in the context of adopting an earth system approach. </w:t>
      </w:r>
    </w:p>
    <w:p w14:paraId="4798FD8F" w14:textId="77777777" w:rsidR="00834529" w:rsidRDefault="00834529" w:rsidP="008B7DE0">
      <w:pPr>
        <w:rPr>
          <w:rFonts w:ascii="Arial" w:eastAsia="Times New Roman" w:hAnsi="Arial" w:cs="Arial"/>
          <w:b/>
          <w:bCs/>
          <w:color w:val="000000"/>
          <w:sz w:val="22"/>
          <w:szCs w:val="22"/>
          <w:lang w:eastAsia="en-GB"/>
        </w:rPr>
      </w:pPr>
    </w:p>
    <w:p w14:paraId="5398BCE6" w14:textId="72E49E47"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Recommended Action 3:</w:t>
      </w:r>
    </w:p>
    <w:p w14:paraId="2593AD48"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This should be discussed further. Identifying and sharing current expertise in the ETR community and Technical/Scientific Subject Matters could be considered if not currently available (ex: list of experts)</w:t>
      </w:r>
    </w:p>
    <w:p w14:paraId="05ABB9E9" w14:textId="77777777" w:rsidR="00834529" w:rsidRDefault="00834529" w:rsidP="008B7DE0">
      <w:pPr>
        <w:rPr>
          <w:rFonts w:ascii="Arial" w:eastAsia="Times New Roman" w:hAnsi="Arial" w:cs="Arial"/>
          <w:b/>
          <w:bCs/>
          <w:color w:val="000000"/>
          <w:sz w:val="22"/>
          <w:szCs w:val="22"/>
          <w:u w:val="single"/>
          <w:lang w:eastAsia="en-GB"/>
        </w:rPr>
      </w:pPr>
    </w:p>
    <w:p w14:paraId="2D6B61F3" w14:textId="47F10DD0" w:rsidR="008B7DE0" w:rsidRPr="00834529" w:rsidRDefault="008B7DE0" w:rsidP="008B7DE0">
      <w:pPr>
        <w:rPr>
          <w:rFonts w:ascii="Arial" w:eastAsia="Times New Roman" w:hAnsi="Arial" w:cs="Arial"/>
          <w:b/>
          <w:bCs/>
          <w:color w:val="000000"/>
          <w:sz w:val="22"/>
          <w:szCs w:val="22"/>
          <w:u w:val="single"/>
          <w:lang w:eastAsia="en-GB"/>
        </w:rPr>
      </w:pPr>
      <w:r w:rsidRPr="00834529">
        <w:rPr>
          <w:rFonts w:ascii="Arial" w:eastAsia="Times New Roman" w:hAnsi="Arial" w:cs="Arial"/>
          <w:b/>
          <w:bCs/>
          <w:color w:val="000000"/>
          <w:sz w:val="22"/>
          <w:szCs w:val="22"/>
          <w:u w:val="single"/>
          <w:lang w:eastAsia="en-GB"/>
        </w:rPr>
        <w:t>2. Resources supporting training</w:t>
      </w:r>
    </w:p>
    <w:p w14:paraId="4E97454E" w14:textId="77777777" w:rsidR="00834529" w:rsidRDefault="00834529" w:rsidP="008B7DE0">
      <w:pPr>
        <w:ind w:firstLine="720"/>
        <w:rPr>
          <w:rFonts w:ascii="Arial" w:eastAsia="Times New Roman" w:hAnsi="Arial" w:cs="Arial"/>
          <w:b/>
          <w:bCs/>
          <w:color w:val="000000"/>
          <w:sz w:val="22"/>
          <w:szCs w:val="22"/>
          <w:u w:val="single"/>
          <w:lang w:eastAsia="en-GB"/>
        </w:rPr>
      </w:pPr>
    </w:p>
    <w:p w14:paraId="0B996300" w14:textId="2807CEDA" w:rsidR="008B7DE0" w:rsidRPr="00834529" w:rsidRDefault="008B7DE0" w:rsidP="008B7DE0">
      <w:pPr>
        <w:ind w:firstLine="720"/>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Knowing what resources are readily available to support training</w:t>
      </w:r>
    </w:p>
    <w:p w14:paraId="75D3B7A5" w14:textId="77777777" w:rsidR="00834529" w:rsidRDefault="00834529" w:rsidP="008B7DE0">
      <w:pPr>
        <w:ind w:firstLine="720"/>
        <w:rPr>
          <w:rFonts w:ascii="Arial" w:eastAsia="Times New Roman" w:hAnsi="Arial" w:cs="Arial"/>
          <w:b/>
          <w:bCs/>
          <w:color w:val="000000"/>
          <w:sz w:val="22"/>
          <w:szCs w:val="22"/>
          <w:lang w:eastAsia="en-GB"/>
        </w:rPr>
      </w:pPr>
    </w:p>
    <w:p w14:paraId="6AF2472F" w14:textId="77777777" w:rsidR="00834529" w:rsidRDefault="00834529" w:rsidP="008B7DE0">
      <w:pPr>
        <w:ind w:firstLine="720"/>
        <w:rPr>
          <w:rFonts w:ascii="Arial" w:eastAsia="Times New Roman" w:hAnsi="Arial" w:cs="Arial"/>
          <w:b/>
          <w:bCs/>
          <w:color w:val="000000"/>
          <w:sz w:val="22"/>
          <w:szCs w:val="22"/>
          <w:lang w:eastAsia="en-GB"/>
        </w:rPr>
      </w:pPr>
    </w:p>
    <w:p w14:paraId="1677A190" w14:textId="56392FF9" w:rsidR="008B7DE0" w:rsidRPr="00834529" w:rsidRDefault="008B7DE0" w:rsidP="008B7DE0">
      <w:pPr>
        <w:ind w:firstLine="720"/>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Opportunities:</w:t>
      </w:r>
    </w:p>
    <w:p w14:paraId="067DCB63" w14:textId="77777777" w:rsidR="008B7DE0" w:rsidRPr="00834529" w:rsidRDefault="008B7DE0" w:rsidP="008B7DE0">
      <w:pPr>
        <w:ind w:left="720"/>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The WMO Global Campus’ calendar has proven to be an effective way to inform about training initiatives if its existence and access are known. The number of participants increase if training is relevant and accessible to a wider community. </w:t>
      </w:r>
    </w:p>
    <w:p w14:paraId="394A6344" w14:textId="77777777" w:rsidR="00834529" w:rsidRDefault="00834529" w:rsidP="008B7DE0">
      <w:pPr>
        <w:rPr>
          <w:rFonts w:ascii="Arial" w:eastAsia="Times New Roman" w:hAnsi="Arial" w:cs="Arial"/>
          <w:b/>
          <w:bCs/>
          <w:color w:val="000000"/>
          <w:sz w:val="22"/>
          <w:szCs w:val="22"/>
          <w:lang w:eastAsia="en-GB"/>
        </w:rPr>
      </w:pPr>
    </w:p>
    <w:p w14:paraId="22F03FAD" w14:textId="6BA1CD35"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Recommended Action 4:</w:t>
      </w:r>
    </w:p>
    <w:p w14:paraId="75C797DA"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Increase promotion of in-house/regional activities within regional forums (ex: Regional meetings and through ETR Focal points and Capacity development Focal points) in addition to that of the WMO Global Campus.</w:t>
      </w:r>
    </w:p>
    <w:p w14:paraId="1DC0AE1B" w14:textId="77777777" w:rsidR="00834529" w:rsidRDefault="00834529" w:rsidP="008B7DE0">
      <w:pPr>
        <w:rPr>
          <w:rFonts w:ascii="Arial" w:eastAsia="Times New Roman" w:hAnsi="Arial" w:cs="Arial"/>
          <w:b/>
          <w:bCs/>
          <w:color w:val="000000"/>
          <w:sz w:val="22"/>
          <w:szCs w:val="22"/>
          <w:u w:val="single"/>
          <w:lang w:eastAsia="en-GB"/>
        </w:rPr>
      </w:pPr>
    </w:p>
    <w:p w14:paraId="05197565" w14:textId="75CEE8AA" w:rsidR="008B7DE0" w:rsidRPr="00834529" w:rsidRDefault="008B7DE0" w:rsidP="008B7DE0">
      <w:pPr>
        <w:rPr>
          <w:rFonts w:ascii="Arial" w:eastAsia="Times New Roman" w:hAnsi="Arial" w:cs="Arial"/>
          <w:b/>
          <w:bCs/>
          <w:color w:val="000000"/>
          <w:sz w:val="22"/>
          <w:szCs w:val="22"/>
          <w:u w:val="single"/>
          <w:lang w:eastAsia="en-GB"/>
        </w:rPr>
      </w:pPr>
      <w:r w:rsidRPr="00834529">
        <w:rPr>
          <w:rFonts w:ascii="Arial" w:eastAsia="Times New Roman" w:hAnsi="Arial" w:cs="Arial"/>
          <w:b/>
          <w:bCs/>
          <w:color w:val="000000"/>
          <w:sz w:val="22"/>
          <w:szCs w:val="22"/>
          <w:u w:val="single"/>
          <w:lang w:eastAsia="en-GB"/>
        </w:rPr>
        <w:t xml:space="preserve">3. Competency Frameworks and links with training opportunities, </w:t>
      </w:r>
      <w:proofErr w:type="gramStart"/>
      <w:r w:rsidRPr="00834529">
        <w:rPr>
          <w:rFonts w:ascii="Arial" w:eastAsia="Times New Roman" w:hAnsi="Arial" w:cs="Arial"/>
          <w:b/>
          <w:bCs/>
          <w:color w:val="000000"/>
          <w:sz w:val="22"/>
          <w:szCs w:val="22"/>
          <w:u w:val="single"/>
          <w:lang w:eastAsia="en-GB"/>
        </w:rPr>
        <w:t>development</w:t>
      </w:r>
      <w:proofErr w:type="gramEnd"/>
      <w:r w:rsidRPr="00834529">
        <w:rPr>
          <w:rFonts w:ascii="Arial" w:eastAsia="Times New Roman" w:hAnsi="Arial" w:cs="Arial"/>
          <w:b/>
          <w:bCs/>
          <w:color w:val="000000"/>
          <w:sz w:val="22"/>
          <w:szCs w:val="22"/>
          <w:u w:val="single"/>
          <w:lang w:eastAsia="en-GB"/>
        </w:rPr>
        <w:t xml:space="preserve"> and assessments</w:t>
      </w:r>
    </w:p>
    <w:p w14:paraId="5F0B97BC" w14:textId="77777777" w:rsidR="00834529" w:rsidRDefault="00834529" w:rsidP="008B7DE0">
      <w:pPr>
        <w:pStyle w:val="Paragraphedeliste"/>
        <w:rPr>
          <w:rFonts w:ascii="Arial" w:eastAsia="Times New Roman" w:hAnsi="Arial" w:cs="Arial"/>
          <w:b/>
          <w:bCs/>
          <w:color w:val="000000"/>
          <w:sz w:val="22"/>
          <w:szCs w:val="22"/>
          <w:u w:val="single"/>
          <w:lang w:eastAsia="en-GB"/>
        </w:rPr>
      </w:pPr>
    </w:p>
    <w:p w14:paraId="3CB94616" w14:textId="03E40E77" w:rsidR="008B7DE0" w:rsidRPr="00834529" w:rsidRDefault="008B7DE0" w:rsidP="008B7DE0">
      <w:pPr>
        <w:pStyle w:val="Paragraphedeliste"/>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xml:space="preserve"> Guidance as to what training opportunities are available to support the development of competencies</w:t>
      </w:r>
    </w:p>
    <w:p w14:paraId="2AC27BC8" w14:textId="77777777" w:rsidR="008B7DE0" w:rsidRPr="00834529" w:rsidRDefault="008B7DE0" w:rsidP="008B7DE0">
      <w:pPr>
        <w:pStyle w:val="Paragraphedeliste"/>
        <w:rPr>
          <w:rFonts w:ascii="Arial" w:eastAsia="Times New Roman" w:hAnsi="Arial" w:cs="Arial"/>
          <w:b/>
          <w:bCs/>
          <w:color w:val="000000"/>
          <w:sz w:val="22"/>
          <w:szCs w:val="22"/>
          <w:lang w:eastAsia="en-GB"/>
        </w:rPr>
      </w:pPr>
    </w:p>
    <w:p w14:paraId="02136D92" w14:textId="77777777" w:rsidR="008B7DE0" w:rsidRPr="00834529" w:rsidRDefault="008B7DE0" w:rsidP="008B7DE0">
      <w:pPr>
        <w:pStyle w:val="Paragraphedeliste"/>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Opportunities:</w:t>
      </w:r>
    </w:p>
    <w:p w14:paraId="3E5F1936" w14:textId="77777777" w:rsidR="008B7DE0" w:rsidRPr="00834529" w:rsidRDefault="008B7DE0" w:rsidP="008B7DE0">
      <w:pPr>
        <w:pStyle w:val="Paragraphedeliste"/>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The twinning of competency framework for aviation meteorologists with training and assessment toolkits have provided useful references for the development and delivery of training. In this situation, personnel must demonstrate that they understand and can perform functions related to the job description</w:t>
      </w:r>
    </w:p>
    <w:p w14:paraId="6C965227" w14:textId="77777777" w:rsidR="00834529" w:rsidRDefault="00834529" w:rsidP="008B7DE0">
      <w:pPr>
        <w:rPr>
          <w:rFonts w:ascii="Arial" w:eastAsia="Times New Roman" w:hAnsi="Arial" w:cs="Arial"/>
          <w:b/>
          <w:bCs/>
          <w:color w:val="000000"/>
          <w:sz w:val="22"/>
          <w:szCs w:val="22"/>
          <w:lang w:eastAsia="en-GB"/>
        </w:rPr>
      </w:pPr>
    </w:p>
    <w:p w14:paraId="6156F5AC" w14:textId="5AC90374"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Recommended Action 5:</w:t>
      </w:r>
    </w:p>
    <w:p w14:paraId="601BBC25"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It would be beneficial if the Competency Frameworks include or refers to toolkits that include training and reference material (such as WMO-1205, 1209 and training available through the Global Campus, RTCs or Technical Commissions) and ways to assess training.</w:t>
      </w:r>
    </w:p>
    <w:p w14:paraId="265D763A" w14:textId="77777777" w:rsidR="00834529" w:rsidRDefault="00834529" w:rsidP="008B7DE0">
      <w:pPr>
        <w:rPr>
          <w:rFonts w:ascii="Arial" w:eastAsia="Times New Roman" w:hAnsi="Arial" w:cs="Arial"/>
          <w:b/>
          <w:bCs/>
          <w:color w:val="000000"/>
          <w:sz w:val="22"/>
          <w:szCs w:val="22"/>
          <w:u w:val="single"/>
          <w:lang w:eastAsia="en-GB"/>
        </w:rPr>
      </w:pPr>
    </w:p>
    <w:p w14:paraId="230DD087" w14:textId="5DDA9A47" w:rsidR="008B7DE0" w:rsidRPr="00834529" w:rsidRDefault="008B7DE0" w:rsidP="008B7DE0">
      <w:pPr>
        <w:rPr>
          <w:rFonts w:ascii="Arial" w:eastAsia="Times New Roman" w:hAnsi="Arial" w:cs="Arial"/>
          <w:b/>
          <w:bCs/>
          <w:color w:val="000000"/>
          <w:sz w:val="22"/>
          <w:szCs w:val="22"/>
          <w:u w:val="single"/>
          <w:lang w:eastAsia="en-GB"/>
        </w:rPr>
      </w:pPr>
      <w:r w:rsidRPr="00834529">
        <w:rPr>
          <w:rFonts w:ascii="Arial" w:eastAsia="Times New Roman" w:hAnsi="Arial" w:cs="Arial"/>
          <w:b/>
          <w:bCs/>
          <w:color w:val="000000"/>
          <w:sz w:val="22"/>
          <w:szCs w:val="22"/>
          <w:u w:val="single"/>
          <w:lang w:eastAsia="en-GB"/>
        </w:rPr>
        <w:t xml:space="preserve">4. Lessons learned in the delivery of training </w:t>
      </w:r>
      <w:proofErr w:type="gramStart"/>
      <w:r w:rsidRPr="00834529">
        <w:rPr>
          <w:rFonts w:ascii="Arial" w:eastAsia="Times New Roman" w:hAnsi="Arial" w:cs="Arial"/>
          <w:b/>
          <w:bCs/>
          <w:color w:val="000000"/>
          <w:sz w:val="22"/>
          <w:szCs w:val="22"/>
          <w:u w:val="single"/>
          <w:lang w:eastAsia="en-GB"/>
        </w:rPr>
        <w:t>as a result of</w:t>
      </w:r>
      <w:proofErr w:type="gramEnd"/>
      <w:r w:rsidRPr="00834529">
        <w:rPr>
          <w:rFonts w:ascii="Arial" w:eastAsia="Times New Roman" w:hAnsi="Arial" w:cs="Arial"/>
          <w:b/>
          <w:bCs/>
          <w:color w:val="000000"/>
          <w:sz w:val="22"/>
          <w:szCs w:val="22"/>
          <w:u w:val="single"/>
          <w:lang w:eastAsia="en-GB"/>
        </w:rPr>
        <w:t xml:space="preserve"> the COVID-19 Pandemic</w:t>
      </w:r>
    </w:p>
    <w:p w14:paraId="4CAE3372" w14:textId="77777777" w:rsidR="00834529" w:rsidRDefault="00834529" w:rsidP="008B7DE0">
      <w:pPr>
        <w:pStyle w:val="Paragraphedeliste"/>
        <w:rPr>
          <w:rFonts w:ascii="Arial" w:eastAsia="Times New Roman" w:hAnsi="Arial" w:cs="Arial"/>
          <w:b/>
          <w:bCs/>
          <w:color w:val="000000"/>
          <w:sz w:val="22"/>
          <w:szCs w:val="22"/>
          <w:u w:val="single"/>
          <w:lang w:eastAsia="en-GB"/>
        </w:rPr>
      </w:pPr>
    </w:p>
    <w:p w14:paraId="640592E6" w14:textId="6A8D6024" w:rsidR="008B7DE0" w:rsidRPr="00834529" w:rsidRDefault="008B7DE0" w:rsidP="008B7DE0">
      <w:pPr>
        <w:pStyle w:val="Paragraphedeliste"/>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u w:val="single"/>
          <w:lang w:eastAsia="en-GB"/>
        </w:rPr>
        <w:t>Item:</w:t>
      </w:r>
      <w:r w:rsidRPr="00834529">
        <w:rPr>
          <w:rFonts w:ascii="Arial" w:eastAsia="Times New Roman" w:hAnsi="Arial" w:cs="Arial"/>
          <w:color w:val="000000"/>
          <w:sz w:val="22"/>
          <w:szCs w:val="22"/>
          <w:lang w:eastAsia="en-GB"/>
        </w:rPr>
        <w:t xml:space="preserve"> Online and blended learning</w:t>
      </w:r>
    </w:p>
    <w:p w14:paraId="44E162D0" w14:textId="77777777" w:rsidR="008B7DE0" w:rsidRPr="00834529" w:rsidRDefault="008B7DE0" w:rsidP="008B7DE0">
      <w:pPr>
        <w:pStyle w:val="Paragraphedeliste"/>
        <w:rPr>
          <w:rFonts w:ascii="Arial" w:eastAsia="Times New Roman" w:hAnsi="Arial" w:cs="Arial"/>
          <w:b/>
          <w:bCs/>
          <w:color w:val="000000"/>
          <w:sz w:val="22"/>
          <w:szCs w:val="22"/>
          <w:lang w:eastAsia="en-GB"/>
        </w:rPr>
      </w:pPr>
    </w:p>
    <w:p w14:paraId="15989690" w14:textId="77777777" w:rsidR="008B7DE0" w:rsidRPr="00834529" w:rsidRDefault="008B7DE0" w:rsidP="008B7DE0">
      <w:pPr>
        <w:pStyle w:val="Paragraphedeliste"/>
        <w:rPr>
          <w:rFonts w:ascii="Arial" w:eastAsia="Times New Roman" w:hAnsi="Arial" w:cs="Arial"/>
          <w:color w:val="000000"/>
          <w:sz w:val="22"/>
          <w:szCs w:val="22"/>
          <w:lang w:eastAsia="en-GB"/>
        </w:rPr>
      </w:pPr>
      <w:r w:rsidRPr="00834529">
        <w:rPr>
          <w:rFonts w:ascii="Arial" w:eastAsia="Times New Roman" w:hAnsi="Arial" w:cs="Arial"/>
          <w:b/>
          <w:bCs/>
          <w:color w:val="000000"/>
          <w:sz w:val="22"/>
          <w:szCs w:val="22"/>
          <w:lang w:eastAsia="en-GB"/>
        </w:rPr>
        <w:t>Opportunities:</w:t>
      </w:r>
    </w:p>
    <w:p w14:paraId="19D4D35A" w14:textId="77777777" w:rsidR="008B7DE0" w:rsidRPr="00834529" w:rsidRDefault="008B7DE0" w:rsidP="008B7DE0">
      <w:pPr>
        <w:pStyle w:val="Paragraphedeliste"/>
        <w:rPr>
          <w:rFonts w:ascii="Arial" w:eastAsia="Times New Roman" w:hAnsi="Arial" w:cs="Arial"/>
          <w:b/>
          <w:bCs/>
          <w:color w:val="000000"/>
          <w:sz w:val="22"/>
          <w:szCs w:val="22"/>
          <w:lang w:eastAsia="en-GB"/>
        </w:rPr>
      </w:pPr>
      <w:r w:rsidRPr="00834529">
        <w:rPr>
          <w:rFonts w:ascii="Arial" w:eastAsia="Times New Roman" w:hAnsi="Arial" w:cs="Arial"/>
          <w:color w:val="000000"/>
          <w:sz w:val="22"/>
          <w:szCs w:val="22"/>
          <w:lang w:eastAsia="en-GB"/>
        </w:rPr>
        <w:t xml:space="preserve">Forums such as </w:t>
      </w:r>
      <w:proofErr w:type="spellStart"/>
      <w:r w:rsidRPr="00834529">
        <w:rPr>
          <w:rFonts w:ascii="Arial" w:eastAsia="Times New Roman" w:hAnsi="Arial" w:cs="Arial"/>
          <w:color w:val="000000"/>
          <w:sz w:val="22"/>
          <w:szCs w:val="22"/>
          <w:lang w:eastAsia="en-GB"/>
        </w:rPr>
        <w:t>CALMet</w:t>
      </w:r>
      <w:proofErr w:type="spellEnd"/>
      <w:r w:rsidRPr="00834529">
        <w:rPr>
          <w:rFonts w:ascii="Arial" w:eastAsia="Times New Roman" w:hAnsi="Arial" w:cs="Arial"/>
          <w:color w:val="000000"/>
          <w:sz w:val="22"/>
          <w:szCs w:val="22"/>
          <w:lang w:eastAsia="en-GB"/>
        </w:rPr>
        <w:t xml:space="preserve"> have provided opportunities to exchange lessons learned during the last several months. Reference material available through the LEARN Portal, and the WMO Global Campus Innovation publication can help support changes in training practices.</w:t>
      </w:r>
    </w:p>
    <w:p w14:paraId="14BCF0A6" w14:textId="77777777" w:rsidR="008B7DE0" w:rsidRPr="00834529" w:rsidRDefault="008B7DE0" w:rsidP="008B7DE0">
      <w:pPr>
        <w:pStyle w:val="Paragraphedeliste"/>
        <w:rPr>
          <w:rFonts w:ascii="Arial" w:eastAsia="Times New Roman" w:hAnsi="Arial" w:cs="Arial"/>
          <w:color w:val="000000"/>
          <w:sz w:val="22"/>
          <w:szCs w:val="22"/>
          <w:u w:val="single"/>
          <w:lang w:eastAsia="en-GB"/>
        </w:rPr>
      </w:pPr>
    </w:p>
    <w:p w14:paraId="2F68D8B0" w14:textId="77777777" w:rsidR="008B7DE0" w:rsidRPr="00834529" w:rsidRDefault="008B7DE0" w:rsidP="008B7DE0">
      <w:pPr>
        <w:rPr>
          <w:rFonts w:ascii="Arial" w:eastAsia="Times New Roman" w:hAnsi="Arial" w:cs="Arial"/>
          <w:b/>
          <w:bCs/>
          <w:color w:val="000000"/>
          <w:sz w:val="22"/>
          <w:szCs w:val="22"/>
          <w:lang w:eastAsia="en-GB"/>
        </w:rPr>
      </w:pPr>
      <w:r w:rsidRPr="00834529">
        <w:rPr>
          <w:rFonts w:ascii="Arial" w:eastAsia="Times New Roman" w:hAnsi="Arial" w:cs="Arial"/>
          <w:b/>
          <w:bCs/>
          <w:color w:val="000000"/>
          <w:sz w:val="22"/>
          <w:szCs w:val="22"/>
          <w:lang w:eastAsia="en-GB"/>
        </w:rPr>
        <w:t xml:space="preserve">Recommended Action 6: </w:t>
      </w:r>
    </w:p>
    <w:p w14:paraId="644D9D3F"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Lessons learned identified through </w:t>
      </w:r>
      <w:proofErr w:type="spellStart"/>
      <w:r w:rsidRPr="00834529">
        <w:rPr>
          <w:rFonts w:ascii="Arial" w:eastAsia="Times New Roman" w:hAnsi="Arial" w:cs="Arial"/>
          <w:color w:val="000000"/>
          <w:sz w:val="22"/>
          <w:szCs w:val="22"/>
          <w:lang w:eastAsia="en-GB"/>
        </w:rPr>
        <w:t>CALMet</w:t>
      </w:r>
      <w:proofErr w:type="spellEnd"/>
      <w:r w:rsidRPr="00834529">
        <w:rPr>
          <w:rFonts w:ascii="Arial" w:eastAsia="Times New Roman" w:hAnsi="Arial" w:cs="Arial"/>
          <w:color w:val="000000"/>
          <w:sz w:val="22"/>
          <w:szCs w:val="22"/>
          <w:lang w:eastAsia="en-GB"/>
        </w:rPr>
        <w:t xml:space="preserve"> (and potentially other efforts) and innovative practices in training delivery could be increasingly shared and promoted within the ETR Community at both the international and regional levels and other stakeholders developing and delivering training.</w:t>
      </w:r>
    </w:p>
    <w:p w14:paraId="4710A86D" w14:textId="77777777" w:rsidR="00834529" w:rsidRDefault="00834529" w:rsidP="008B7DE0">
      <w:pPr>
        <w:rPr>
          <w:rFonts w:ascii="Arial" w:eastAsia="Times New Roman" w:hAnsi="Arial" w:cs="Arial"/>
          <w:b/>
          <w:bCs/>
          <w:color w:val="000000"/>
          <w:sz w:val="22"/>
          <w:szCs w:val="22"/>
          <w:u w:val="single"/>
          <w:lang w:eastAsia="en-GB"/>
        </w:rPr>
      </w:pPr>
    </w:p>
    <w:p w14:paraId="10965467" w14:textId="51F88B9B" w:rsidR="008B7DE0" w:rsidRPr="00834529" w:rsidRDefault="008B7DE0" w:rsidP="008B7DE0">
      <w:pPr>
        <w:rPr>
          <w:rFonts w:ascii="Arial" w:eastAsia="Times New Roman" w:hAnsi="Arial" w:cs="Arial"/>
          <w:b/>
          <w:bCs/>
          <w:color w:val="000000"/>
          <w:sz w:val="22"/>
          <w:szCs w:val="22"/>
          <w:u w:val="single"/>
          <w:lang w:eastAsia="en-GB"/>
        </w:rPr>
      </w:pPr>
      <w:r w:rsidRPr="00834529">
        <w:rPr>
          <w:rFonts w:ascii="Arial" w:eastAsia="Times New Roman" w:hAnsi="Arial" w:cs="Arial"/>
          <w:b/>
          <w:bCs/>
          <w:color w:val="000000"/>
          <w:sz w:val="22"/>
          <w:szCs w:val="22"/>
          <w:u w:val="single"/>
          <w:lang w:eastAsia="en-GB"/>
        </w:rPr>
        <w:t>5. Suggestion regarding SYMET</w:t>
      </w:r>
    </w:p>
    <w:p w14:paraId="3BF29CA9" w14:textId="77777777" w:rsidR="00834529" w:rsidRDefault="00834529" w:rsidP="008B7DE0">
      <w:pPr>
        <w:rPr>
          <w:rFonts w:ascii="Arial" w:eastAsia="Times New Roman" w:hAnsi="Arial" w:cs="Arial"/>
          <w:color w:val="000000"/>
          <w:sz w:val="22"/>
          <w:szCs w:val="22"/>
          <w:lang w:eastAsia="en-GB"/>
        </w:rPr>
      </w:pPr>
    </w:p>
    <w:p w14:paraId="7230B713" w14:textId="651A45BF"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As SYMET occurs every 4 years, and the water, weather and climate community will need to address many challenges regarding the evolution of its infrastructure, </w:t>
      </w:r>
      <w:proofErr w:type="gramStart"/>
      <w:r w:rsidRPr="00834529">
        <w:rPr>
          <w:rFonts w:ascii="Arial" w:eastAsia="Times New Roman" w:hAnsi="Arial" w:cs="Arial"/>
          <w:color w:val="000000"/>
          <w:sz w:val="22"/>
          <w:szCs w:val="22"/>
          <w:lang w:eastAsia="en-GB"/>
        </w:rPr>
        <w:t>services</w:t>
      </w:r>
      <w:proofErr w:type="gramEnd"/>
      <w:r w:rsidRPr="00834529">
        <w:rPr>
          <w:rFonts w:ascii="Arial" w:eastAsia="Times New Roman" w:hAnsi="Arial" w:cs="Arial"/>
          <w:color w:val="000000"/>
          <w:sz w:val="22"/>
          <w:szCs w:val="22"/>
          <w:lang w:eastAsia="en-GB"/>
        </w:rPr>
        <w:t xml:space="preserve"> and policies, we suggest that an interim update on the progress made since SYMET-14 could be considered before the next SYMET (document, short online session?). This would enable the following:</w:t>
      </w:r>
    </w:p>
    <w:p w14:paraId="51EC54EE"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Follow up on recommendations from SYMET-14.</w:t>
      </w:r>
    </w:p>
    <w:p w14:paraId="72830034" w14:textId="77777777"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Demonstrate the high-level commitment to education and training.</w:t>
      </w:r>
    </w:p>
    <w:p w14:paraId="323FA784" w14:textId="77777777" w:rsidR="00834529" w:rsidRDefault="00834529" w:rsidP="00834529">
      <w:pPr>
        <w:pStyle w:val="Paragraphedeliste"/>
        <w:ind w:left="1440"/>
        <w:rPr>
          <w:rFonts w:ascii="Arial" w:eastAsia="Times New Roman" w:hAnsi="Arial" w:cs="Arial"/>
          <w:color w:val="000000"/>
          <w:sz w:val="22"/>
          <w:szCs w:val="22"/>
          <w:lang w:eastAsia="en-GB"/>
        </w:rPr>
      </w:pPr>
    </w:p>
    <w:p w14:paraId="59C372D2" w14:textId="77777777" w:rsidR="00834529" w:rsidRDefault="00834529" w:rsidP="00834529">
      <w:pPr>
        <w:pStyle w:val="Paragraphedeliste"/>
        <w:ind w:left="1440"/>
        <w:rPr>
          <w:rFonts w:ascii="Arial" w:eastAsia="Times New Roman" w:hAnsi="Arial" w:cs="Arial"/>
          <w:color w:val="000000"/>
          <w:sz w:val="22"/>
          <w:szCs w:val="22"/>
          <w:lang w:eastAsia="en-GB"/>
        </w:rPr>
      </w:pPr>
    </w:p>
    <w:p w14:paraId="26ABD19D" w14:textId="3A18CFAF" w:rsidR="008B7DE0" w:rsidRPr="00834529" w:rsidRDefault="008B7DE0" w:rsidP="008B7DE0">
      <w:pPr>
        <w:pStyle w:val="Paragraphedeliste"/>
        <w:numPr>
          <w:ilvl w:val="1"/>
          <w:numId w:val="4"/>
        </w:num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lastRenderedPageBreak/>
        <w:t>Support and foster continued collaboration within the ETR community and programs, the exchange of relevant information and the promotion of ETR practices and resources</w:t>
      </w:r>
    </w:p>
    <w:p w14:paraId="28953E4A" w14:textId="77777777" w:rsidR="008B7DE0" w:rsidRPr="00834529" w:rsidRDefault="008B7DE0" w:rsidP="008B7DE0">
      <w:pPr>
        <w:pStyle w:val="Paragraphedeliste"/>
        <w:rPr>
          <w:rFonts w:ascii="Arial" w:eastAsia="Times New Roman" w:hAnsi="Arial" w:cs="Arial"/>
          <w:color w:val="000000"/>
          <w:sz w:val="22"/>
          <w:szCs w:val="22"/>
          <w:lang w:eastAsia="en-GB"/>
        </w:rPr>
      </w:pPr>
    </w:p>
    <w:p w14:paraId="008376F3"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Drafted by </w:t>
      </w:r>
    </w:p>
    <w:p w14:paraId="4E77087E"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Jennifer Milton, INFCOM Representative on the CDP and IAC </w:t>
      </w:r>
    </w:p>
    <w:p w14:paraId="478D96CD"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 xml:space="preserve">Kathy-Ann </w:t>
      </w:r>
      <w:proofErr w:type="spellStart"/>
      <w:r w:rsidRPr="00834529">
        <w:rPr>
          <w:rFonts w:ascii="Arial" w:eastAsia="Times New Roman" w:hAnsi="Arial" w:cs="Arial"/>
          <w:color w:val="000000"/>
          <w:sz w:val="22"/>
          <w:szCs w:val="22"/>
          <w:lang w:eastAsia="en-GB"/>
        </w:rPr>
        <w:t>Ceasar</w:t>
      </w:r>
      <w:proofErr w:type="spellEnd"/>
      <w:r w:rsidRPr="00834529">
        <w:rPr>
          <w:rFonts w:ascii="Arial" w:eastAsia="Times New Roman" w:hAnsi="Arial" w:cs="Arial"/>
          <w:color w:val="000000"/>
          <w:sz w:val="22"/>
          <w:szCs w:val="22"/>
          <w:lang w:eastAsia="en-GB"/>
        </w:rPr>
        <w:t>, CIMH</w:t>
      </w:r>
    </w:p>
    <w:p w14:paraId="1DDF114A" w14:textId="77777777" w:rsidR="008B7DE0" w:rsidRPr="00834529" w:rsidRDefault="008B7DE0" w:rsidP="008B7DE0">
      <w:pPr>
        <w:rPr>
          <w:rFonts w:ascii="Arial" w:eastAsia="Times New Roman" w:hAnsi="Arial" w:cs="Arial"/>
          <w:color w:val="000000"/>
          <w:sz w:val="22"/>
          <w:szCs w:val="22"/>
          <w:lang w:eastAsia="en-GB"/>
        </w:rPr>
      </w:pPr>
      <w:proofErr w:type="spellStart"/>
      <w:r w:rsidRPr="00834529">
        <w:rPr>
          <w:rFonts w:ascii="Arial" w:eastAsia="Times New Roman" w:hAnsi="Arial" w:cs="Arial"/>
          <w:color w:val="000000"/>
          <w:sz w:val="22"/>
          <w:szCs w:val="22"/>
          <w:lang w:eastAsia="en-GB"/>
        </w:rPr>
        <w:t>Bernie.Connell</w:t>
      </w:r>
      <w:proofErr w:type="spellEnd"/>
      <w:r w:rsidRPr="00834529">
        <w:rPr>
          <w:rFonts w:ascii="Arial" w:eastAsia="Times New Roman" w:hAnsi="Arial" w:cs="Arial"/>
          <w:color w:val="000000"/>
          <w:sz w:val="22"/>
          <w:szCs w:val="22"/>
          <w:lang w:eastAsia="en-GB"/>
        </w:rPr>
        <w:t xml:space="preserve">, CIRA/CSU and </w:t>
      </w:r>
      <w:proofErr w:type="spellStart"/>
      <w:r w:rsidRPr="00834529">
        <w:rPr>
          <w:rFonts w:ascii="Arial" w:eastAsia="Times New Roman" w:hAnsi="Arial" w:cs="Arial"/>
          <w:color w:val="000000"/>
          <w:sz w:val="22"/>
          <w:szCs w:val="22"/>
          <w:lang w:eastAsia="en-GB"/>
        </w:rPr>
        <w:t>VLab</w:t>
      </w:r>
      <w:proofErr w:type="spellEnd"/>
      <w:r w:rsidRPr="00834529">
        <w:rPr>
          <w:rFonts w:ascii="Arial" w:eastAsia="Times New Roman" w:hAnsi="Arial" w:cs="Arial"/>
          <w:color w:val="000000"/>
          <w:sz w:val="22"/>
          <w:szCs w:val="22"/>
          <w:lang w:eastAsia="en-GB"/>
        </w:rPr>
        <w:t xml:space="preserve"> Co-Chair</w:t>
      </w:r>
    </w:p>
    <w:p w14:paraId="11A6FD0E"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John Ogren, Co-chair CDP, NOAA-NWS</w:t>
      </w:r>
    </w:p>
    <w:p w14:paraId="4E46CC44"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Jim Poole, NOAA-NWS</w:t>
      </w:r>
    </w:p>
    <w:p w14:paraId="0D171FCD" w14:textId="77777777" w:rsidR="008B7DE0" w:rsidRPr="00834529" w:rsidRDefault="008B7DE0" w:rsidP="008B7DE0">
      <w:pPr>
        <w:rPr>
          <w:rFonts w:ascii="Arial" w:eastAsia="Times New Roman" w:hAnsi="Arial" w:cs="Arial"/>
          <w:color w:val="000000"/>
          <w:sz w:val="22"/>
          <w:szCs w:val="22"/>
          <w:lang w:eastAsia="en-GB"/>
        </w:rPr>
      </w:pPr>
      <w:r w:rsidRPr="00834529">
        <w:rPr>
          <w:rFonts w:ascii="Arial" w:eastAsia="Times New Roman" w:hAnsi="Arial" w:cs="Arial"/>
          <w:color w:val="000000"/>
          <w:sz w:val="22"/>
          <w:szCs w:val="22"/>
          <w:lang w:eastAsia="en-GB"/>
        </w:rPr>
        <w:t>November 23, 2021, revised December 2, 2021</w:t>
      </w:r>
    </w:p>
    <w:p w14:paraId="1383643A" w14:textId="77777777" w:rsidR="00C53D61" w:rsidRPr="00834529" w:rsidRDefault="00C53D61" w:rsidP="008B7DE0">
      <w:pPr>
        <w:rPr>
          <w:sz w:val="22"/>
          <w:szCs w:val="22"/>
        </w:rPr>
      </w:pPr>
    </w:p>
    <w:p w14:paraId="39C4EAE9" w14:textId="77777777" w:rsidR="00834529" w:rsidRPr="00834529" w:rsidRDefault="00834529">
      <w:pPr>
        <w:rPr>
          <w:sz w:val="22"/>
          <w:szCs w:val="22"/>
        </w:rPr>
      </w:pPr>
    </w:p>
    <w:sectPr w:rsidR="00834529" w:rsidRPr="00834529" w:rsidSect="00B12EFA">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BB52" w14:textId="77777777" w:rsidR="00F73E18" w:rsidRDefault="00F73E18" w:rsidP="00B669F1">
      <w:r>
        <w:separator/>
      </w:r>
    </w:p>
  </w:endnote>
  <w:endnote w:type="continuationSeparator" w:id="0">
    <w:p w14:paraId="463BB433" w14:textId="77777777" w:rsidR="00F73E18" w:rsidRDefault="00F73E18" w:rsidP="00B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25460"/>
      <w:docPartObj>
        <w:docPartGallery w:val="Page Numbers (Bottom of Page)"/>
        <w:docPartUnique/>
      </w:docPartObj>
    </w:sdtPr>
    <w:sdtEndPr/>
    <w:sdtContent>
      <w:p w14:paraId="4B834878" w14:textId="7621E8E4" w:rsidR="008029FF" w:rsidRDefault="008029FF">
        <w:pPr>
          <w:pStyle w:val="Pieddepage"/>
          <w:jc w:val="right"/>
        </w:pPr>
        <w:r>
          <w:fldChar w:fldCharType="begin"/>
        </w:r>
        <w:r>
          <w:instrText>PAGE   \* MERGEFORMAT</w:instrText>
        </w:r>
        <w:r>
          <w:fldChar w:fldCharType="separate"/>
        </w:r>
        <w:r>
          <w:rPr>
            <w:lang w:val="fr-FR"/>
          </w:rPr>
          <w:t>2</w:t>
        </w:r>
        <w:r>
          <w:fldChar w:fldCharType="end"/>
        </w:r>
      </w:p>
    </w:sdtContent>
  </w:sdt>
  <w:p w14:paraId="395FA73D" w14:textId="77777777" w:rsidR="008029FF" w:rsidRDefault="008029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2BE2" w14:textId="77777777" w:rsidR="00F73E18" w:rsidRDefault="00F73E18" w:rsidP="00B669F1">
      <w:r>
        <w:separator/>
      </w:r>
    </w:p>
  </w:footnote>
  <w:footnote w:type="continuationSeparator" w:id="0">
    <w:p w14:paraId="6DE68140" w14:textId="77777777" w:rsidR="00F73E18" w:rsidRDefault="00F73E18" w:rsidP="00B6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6520" w14:textId="77777777" w:rsidR="00B669F1" w:rsidRPr="00B669F1" w:rsidRDefault="00B669F1" w:rsidP="00B669F1">
    <w:pPr>
      <w:rPr>
        <w:rFonts w:ascii="Calibri" w:eastAsia="Times New Roman" w:hAnsi="Calibri" w:cs="Calibri"/>
        <w:b/>
        <w:bCs/>
        <w:color w:val="000000"/>
        <w:sz w:val="32"/>
        <w:szCs w:val="32"/>
        <w:lang w:eastAsia="en-GB"/>
      </w:rPr>
    </w:pPr>
    <w:r w:rsidRPr="00B669F1">
      <w:rPr>
        <w:rFonts w:ascii="Calibri" w:eastAsia="Times New Roman" w:hAnsi="Calibri" w:cs="Calibri"/>
        <w:b/>
        <w:bCs/>
        <w:color w:val="000000"/>
        <w:sz w:val="32"/>
        <w:szCs w:val="32"/>
        <w:lang w:eastAsia="en-GB"/>
      </w:rPr>
      <w:t>SYMET Regional Working Group – Region IV</w:t>
    </w:r>
  </w:p>
  <w:p w14:paraId="1743AE10" w14:textId="0C24505B" w:rsidR="00B669F1" w:rsidRPr="00B669F1" w:rsidRDefault="00B669F1">
    <w:pPr>
      <w:pStyle w:val="En-tte"/>
      <w:rPr>
        <w:sz w:val="28"/>
        <w:szCs w:val="28"/>
      </w:rPr>
    </w:pPr>
    <w:r w:rsidRPr="00B669F1">
      <w:rPr>
        <w:sz w:val="28"/>
        <w:szCs w:val="28"/>
      </w:rPr>
      <w:t xml:space="preserve">Summary of Discussion and Recommended Actions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1AD"/>
    <w:multiLevelType w:val="multilevel"/>
    <w:tmpl w:val="4FC460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BFE1E7E"/>
    <w:multiLevelType w:val="hybridMultilevel"/>
    <w:tmpl w:val="1752098C"/>
    <w:lvl w:ilvl="0" w:tplc="802EE6AC">
      <w:start w:val="1"/>
      <w:numFmt w:val="bullet"/>
      <w:lvlText w:val=""/>
      <w:lvlJc w:val="left"/>
      <w:pPr>
        <w:tabs>
          <w:tab w:val="num" w:pos="720"/>
        </w:tabs>
        <w:ind w:left="720" w:hanging="360"/>
      </w:pPr>
      <w:rPr>
        <w:rFonts w:ascii="Wingdings 3" w:hAnsi="Wingdings 3" w:hint="default"/>
      </w:rPr>
    </w:lvl>
    <w:lvl w:ilvl="1" w:tplc="E5102622">
      <w:start w:val="1"/>
      <w:numFmt w:val="bullet"/>
      <w:lvlText w:val=""/>
      <w:lvlJc w:val="left"/>
      <w:pPr>
        <w:tabs>
          <w:tab w:val="num" w:pos="1440"/>
        </w:tabs>
        <w:ind w:left="1440" w:hanging="360"/>
      </w:pPr>
      <w:rPr>
        <w:rFonts w:ascii="Wingdings 3" w:hAnsi="Wingdings 3" w:hint="default"/>
      </w:rPr>
    </w:lvl>
    <w:lvl w:ilvl="2" w:tplc="41408A7A" w:tentative="1">
      <w:start w:val="1"/>
      <w:numFmt w:val="bullet"/>
      <w:lvlText w:val=""/>
      <w:lvlJc w:val="left"/>
      <w:pPr>
        <w:tabs>
          <w:tab w:val="num" w:pos="2160"/>
        </w:tabs>
        <w:ind w:left="2160" w:hanging="360"/>
      </w:pPr>
      <w:rPr>
        <w:rFonts w:ascii="Wingdings 3" w:hAnsi="Wingdings 3" w:hint="default"/>
      </w:rPr>
    </w:lvl>
    <w:lvl w:ilvl="3" w:tplc="0FD48FCA" w:tentative="1">
      <w:start w:val="1"/>
      <w:numFmt w:val="bullet"/>
      <w:lvlText w:val=""/>
      <w:lvlJc w:val="left"/>
      <w:pPr>
        <w:tabs>
          <w:tab w:val="num" w:pos="2880"/>
        </w:tabs>
        <w:ind w:left="2880" w:hanging="360"/>
      </w:pPr>
      <w:rPr>
        <w:rFonts w:ascii="Wingdings 3" w:hAnsi="Wingdings 3" w:hint="default"/>
      </w:rPr>
    </w:lvl>
    <w:lvl w:ilvl="4" w:tplc="B47465A6" w:tentative="1">
      <w:start w:val="1"/>
      <w:numFmt w:val="bullet"/>
      <w:lvlText w:val=""/>
      <w:lvlJc w:val="left"/>
      <w:pPr>
        <w:tabs>
          <w:tab w:val="num" w:pos="3600"/>
        </w:tabs>
        <w:ind w:left="3600" w:hanging="360"/>
      </w:pPr>
      <w:rPr>
        <w:rFonts w:ascii="Wingdings 3" w:hAnsi="Wingdings 3" w:hint="default"/>
      </w:rPr>
    </w:lvl>
    <w:lvl w:ilvl="5" w:tplc="FF38A546" w:tentative="1">
      <w:start w:val="1"/>
      <w:numFmt w:val="bullet"/>
      <w:lvlText w:val=""/>
      <w:lvlJc w:val="left"/>
      <w:pPr>
        <w:tabs>
          <w:tab w:val="num" w:pos="4320"/>
        </w:tabs>
        <w:ind w:left="4320" w:hanging="360"/>
      </w:pPr>
      <w:rPr>
        <w:rFonts w:ascii="Wingdings 3" w:hAnsi="Wingdings 3" w:hint="default"/>
      </w:rPr>
    </w:lvl>
    <w:lvl w:ilvl="6" w:tplc="F2844864" w:tentative="1">
      <w:start w:val="1"/>
      <w:numFmt w:val="bullet"/>
      <w:lvlText w:val=""/>
      <w:lvlJc w:val="left"/>
      <w:pPr>
        <w:tabs>
          <w:tab w:val="num" w:pos="5040"/>
        </w:tabs>
        <w:ind w:left="5040" w:hanging="360"/>
      </w:pPr>
      <w:rPr>
        <w:rFonts w:ascii="Wingdings 3" w:hAnsi="Wingdings 3" w:hint="default"/>
      </w:rPr>
    </w:lvl>
    <w:lvl w:ilvl="7" w:tplc="856C04D2" w:tentative="1">
      <w:start w:val="1"/>
      <w:numFmt w:val="bullet"/>
      <w:lvlText w:val=""/>
      <w:lvlJc w:val="left"/>
      <w:pPr>
        <w:tabs>
          <w:tab w:val="num" w:pos="5760"/>
        </w:tabs>
        <w:ind w:left="5760" w:hanging="360"/>
      </w:pPr>
      <w:rPr>
        <w:rFonts w:ascii="Wingdings 3" w:hAnsi="Wingdings 3" w:hint="default"/>
      </w:rPr>
    </w:lvl>
    <w:lvl w:ilvl="8" w:tplc="315AD08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FB05A56"/>
    <w:multiLevelType w:val="hybridMultilevel"/>
    <w:tmpl w:val="D95081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8686498"/>
    <w:multiLevelType w:val="hybridMultilevel"/>
    <w:tmpl w:val="81AAD6C6"/>
    <w:lvl w:ilvl="0" w:tplc="6B229256">
      <w:start w:val="1"/>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6659B5"/>
    <w:multiLevelType w:val="hybridMultilevel"/>
    <w:tmpl w:val="914EEC7C"/>
    <w:lvl w:ilvl="0" w:tplc="098CBBC0">
      <w:start w:val="1"/>
      <w:numFmt w:val="bullet"/>
      <w:lvlText w:val=""/>
      <w:lvlJc w:val="left"/>
      <w:pPr>
        <w:tabs>
          <w:tab w:val="num" w:pos="720"/>
        </w:tabs>
        <w:ind w:left="720" w:hanging="360"/>
      </w:pPr>
      <w:rPr>
        <w:rFonts w:ascii="Wingdings 3" w:hAnsi="Wingdings 3" w:hint="default"/>
      </w:rPr>
    </w:lvl>
    <w:lvl w:ilvl="1" w:tplc="6DACEA42">
      <w:start w:val="1"/>
      <w:numFmt w:val="bullet"/>
      <w:lvlText w:val=""/>
      <w:lvlJc w:val="left"/>
      <w:pPr>
        <w:tabs>
          <w:tab w:val="num" w:pos="1440"/>
        </w:tabs>
        <w:ind w:left="1440" w:hanging="360"/>
      </w:pPr>
      <w:rPr>
        <w:rFonts w:ascii="Wingdings 3" w:hAnsi="Wingdings 3" w:hint="default"/>
      </w:rPr>
    </w:lvl>
    <w:lvl w:ilvl="2" w:tplc="7F288194" w:tentative="1">
      <w:start w:val="1"/>
      <w:numFmt w:val="bullet"/>
      <w:lvlText w:val=""/>
      <w:lvlJc w:val="left"/>
      <w:pPr>
        <w:tabs>
          <w:tab w:val="num" w:pos="2160"/>
        </w:tabs>
        <w:ind w:left="2160" w:hanging="360"/>
      </w:pPr>
      <w:rPr>
        <w:rFonts w:ascii="Wingdings 3" w:hAnsi="Wingdings 3" w:hint="default"/>
      </w:rPr>
    </w:lvl>
    <w:lvl w:ilvl="3" w:tplc="784671B4" w:tentative="1">
      <w:start w:val="1"/>
      <w:numFmt w:val="bullet"/>
      <w:lvlText w:val=""/>
      <w:lvlJc w:val="left"/>
      <w:pPr>
        <w:tabs>
          <w:tab w:val="num" w:pos="2880"/>
        </w:tabs>
        <w:ind w:left="2880" w:hanging="360"/>
      </w:pPr>
      <w:rPr>
        <w:rFonts w:ascii="Wingdings 3" w:hAnsi="Wingdings 3" w:hint="default"/>
      </w:rPr>
    </w:lvl>
    <w:lvl w:ilvl="4" w:tplc="6C14C428" w:tentative="1">
      <w:start w:val="1"/>
      <w:numFmt w:val="bullet"/>
      <w:lvlText w:val=""/>
      <w:lvlJc w:val="left"/>
      <w:pPr>
        <w:tabs>
          <w:tab w:val="num" w:pos="3600"/>
        </w:tabs>
        <w:ind w:left="3600" w:hanging="360"/>
      </w:pPr>
      <w:rPr>
        <w:rFonts w:ascii="Wingdings 3" w:hAnsi="Wingdings 3" w:hint="default"/>
      </w:rPr>
    </w:lvl>
    <w:lvl w:ilvl="5" w:tplc="BC185D06" w:tentative="1">
      <w:start w:val="1"/>
      <w:numFmt w:val="bullet"/>
      <w:lvlText w:val=""/>
      <w:lvlJc w:val="left"/>
      <w:pPr>
        <w:tabs>
          <w:tab w:val="num" w:pos="4320"/>
        </w:tabs>
        <w:ind w:left="4320" w:hanging="360"/>
      </w:pPr>
      <w:rPr>
        <w:rFonts w:ascii="Wingdings 3" w:hAnsi="Wingdings 3" w:hint="default"/>
      </w:rPr>
    </w:lvl>
    <w:lvl w:ilvl="6" w:tplc="07140E7C" w:tentative="1">
      <w:start w:val="1"/>
      <w:numFmt w:val="bullet"/>
      <w:lvlText w:val=""/>
      <w:lvlJc w:val="left"/>
      <w:pPr>
        <w:tabs>
          <w:tab w:val="num" w:pos="5040"/>
        </w:tabs>
        <w:ind w:left="5040" w:hanging="360"/>
      </w:pPr>
      <w:rPr>
        <w:rFonts w:ascii="Wingdings 3" w:hAnsi="Wingdings 3" w:hint="default"/>
      </w:rPr>
    </w:lvl>
    <w:lvl w:ilvl="7" w:tplc="E6E2029C" w:tentative="1">
      <w:start w:val="1"/>
      <w:numFmt w:val="bullet"/>
      <w:lvlText w:val=""/>
      <w:lvlJc w:val="left"/>
      <w:pPr>
        <w:tabs>
          <w:tab w:val="num" w:pos="5760"/>
        </w:tabs>
        <w:ind w:left="5760" w:hanging="360"/>
      </w:pPr>
      <w:rPr>
        <w:rFonts w:ascii="Wingdings 3" w:hAnsi="Wingdings 3" w:hint="default"/>
      </w:rPr>
    </w:lvl>
    <w:lvl w:ilvl="8" w:tplc="5F3C173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50C254A"/>
    <w:multiLevelType w:val="hybridMultilevel"/>
    <w:tmpl w:val="B120BD92"/>
    <w:lvl w:ilvl="0" w:tplc="F2D43C32">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83EAB"/>
    <w:multiLevelType w:val="hybridMultilevel"/>
    <w:tmpl w:val="E5F6BF10"/>
    <w:lvl w:ilvl="0" w:tplc="8076B21E">
      <w:start w:val="1"/>
      <w:numFmt w:val="bullet"/>
      <w:lvlText w:val=""/>
      <w:lvlJc w:val="left"/>
      <w:pPr>
        <w:tabs>
          <w:tab w:val="num" w:pos="720"/>
        </w:tabs>
        <w:ind w:left="720" w:hanging="360"/>
      </w:pPr>
      <w:rPr>
        <w:rFonts w:ascii="Wingdings 3" w:hAnsi="Wingdings 3" w:hint="default"/>
      </w:rPr>
    </w:lvl>
    <w:lvl w:ilvl="1" w:tplc="A5CE4E26">
      <w:start w:val="1"/>
      <w:numFmt w:val="bullet"/>
      <w:lvlText w:val=""/>
      <w:lvlJc w:val="left"/>
      <w:pPr>
        <w:tabs>
          <w:tab w:val="num" w:pos="1440"/>
        </w:tabs>
        <w:ind w:left="1440" w:hanging="360"/>
      </w:pPr>
      <w:rPr>
        <w:rFonts w:ascii="Wingdings 3" w:hAnsi="Wingdings 3" w:hint="default"/>
      </w:rPr>
    </w:lvl>
    <w:lvl w:ilvl="2" w:tplc="678CF634" w:tentative="1">
      <w:start w:val="1"/>
      <w:numFmt w:val="bullet"/>
      <w:lvlText w:val=""/>
      <w:lvlJc w:val="left"/>
      <w:pPr>
        <w:tabs>
          <w:tab w:val="num" w:pos="2160"/>
        </w:tabs>
        <w:ind w:left="2160" w:hanging="360"/>
      </w:pPr>
      <w:rPr>
        <w:rFonts w:ascii="Wingdings 3" w:hAnsi="Wingdings 3" w:hint="default"/>
      </w:rPr>
    </w:lvl>
    <w:lvl w:ilvl="3" w:tplc="ADD4469C" w:tentative="1">
      <w:start w:val="1"/>
      <w:numFmt w:val="bullet"/>
      <w:lvlText w:val=""/>
      <w:lvlJc w:val="left"/>
      <w:pPr>
        <w:tabs>
          <w:tab w:val="num" w:pos="2880"/>
        </w:tabs>
        <w:ind w:left="2880" w:hanging="360"/>
      </w:pPr>
      <w:rPr>
        <w:rFonts w:ascii="Wingdings 3" w:hAnsi="Wingdings 3" w:hint="default"/>
      </w:rPr>
    </w:lvl>
    <w:lvl w:ilvl="4" w:tplc="3FC0314C" w:tentative="1">
      <w:start w:val="1"/>
      <w:numFmt w:val="bullet"/>
      <w:lvlText w:val=""/>
      <w:lvlJc w:val="left"/>
      <w:pPr>
        <w:tabs>
          <w:tab w:val="num" w:pos="3600"/>
        </w:tabs>
        <w:ind w:left="3600" w:hanging="360"/>
      </w:pPr>
      <w:rPr>
        <w:rFonts w:ascii="Wingdings 3" w:hAnsi="Wingdings 3" w:hint="default"/>
      </w:rPr>
    </w:lvl>
    <w:lvl w:ilvl="5" w:tplc="BAACF1F6" w:tentative="1">
      <w:start w:val="1"/>
      <w:numFmt w:val="bullet"/>
      <w:lvlText w:val=""/>
      <w:lvlJc w:val="left"/>
      <w:pPr>
        <w:tabs>
          <w:tab w:val="num" w:pos="4320"/>
        </w:tabs>
        <w:ind w:left="4320" w:hanging="360"/>
      </w:pPr>
      <w:rPr>
        <w:rFonts w:ascii="Wingdings 3" w:hAnsi="Wingdings 3" w:hint="default"/>
      </w:rPr>
    </w:lvl>
    <w:lvl w:ilvl="6" w:tplc="253CDBCE" w:tentative="1">
      <w:start w:val="1"/>
      <w:numFmt w:val="bullet"/>
      <w:lvlText w:val=""/>
      <w:lvlJc w:val="left"/>
      <w:pPr>
        <w:tabs>
          <w:tab w:val="num" w:pos="5040"/>
        </w:tabs>
        <w:ind w:left="5040" w:hanging="360"/>
      </w:pPr>
      <w:rPr>
        <w:rFonts w:ascii="Wingdings 3" w:hAnsi="Wingdings 3" w:hint="default"/>
      </w:rPr>
    </w:lvl>
    <w:lvl w:ilvl="7" w:tplc="FF16ACAA" w:tentative="1">
      <w:start w:val="1"/>
      <w:numFmt w:val="bullet"/>
      <w:lvlText w:val=""/>
      <w:lvlJc w:val="left"/>
      <w:pPr>
        <w:tabs>
          <w:tab w:val="num" w:pos="5760"/>
        </w:tabs>
        <w:ind w:left="5760" w:hanging="360"/>
      </w:pPr>
      <w:rPr>
        <w:rFonts w:ascii="Wingdings 3" w:hAnsi="Wingdings 3" w:hint="default"/>
      </w:rPr>
    </w:lvl>
    <w:lvl w:ilvl="8" w:tplc="9F086B5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7A"/>
    <w:rsid w:val="00034A73"/>
    <w:rsid w:val="00061D3B"/>
    <w:rsid w:val="000634AA"/>
    <w:rsid w:val="00103E05"/>
    <w:rsid w:val="001C2947"/>
    <w:rsid w:val="001F4ECD"/>
    <w:rsid w:val="002067AB"/>
    <w:rsid w:val="002244E2"/>
    <w:rsid w:val="0023760C"/>
    <w:rsid w:val="0029321F"/>
    <w:rsid w:val="003151E4"/>
    <w:rsid w:val="00363118"/>
    <w:rsid w:val="003C044D"/>
    <w:rsid w:val="00404D1D"/>
    <w:rsid w:val="004225C7"/>
    <w:rsid w:val="00451E9F"/>
    <w:rsid w:val="00460E7D"/>
    <w:rsid w:val="004E7217"/>
    <w:rsid w:val="005572AA"/>
    <w:rsid w:val="005F0258"/>
    <w:rsid w:val="00672B04"/>
    <w:rsid w:val="008029FF"/>
    <w:rsid w:val="00834529"/>
    <w:rsid w:val="00886643"/>
    <w:rsid w:val="008943F5"/>
    <w:rsid w:val="008B7DE0"/>
    <w:rsid w:val="008D6BE6"/>
    <w:rsid w:val="00934A4B"/>
    <w:rsid w:val="009E7200"/>
    <w:rsid w:val="00A1066D"/>
    <w:rsid w:val="00A770B0"/>
    <w:rsid w:val="00A81791"/>
    <w:rsid w:val="00B12EFA"/>
    <w:rsid w:val="00B669F1"/>
    <w:rsid w:val="00B7465D"/>
    <w:rsid w:val="00B7725D"/>
    <w:rsid w:val="00C53D61"/>
    <w:rsid w:val="00CF5CB7"/>
    <w:rsid w:val="00D213BC"/>
    <w:rsid w:val="00D51D95"/>
    <w:rsid w:val="00D7235C"/>
    <w:rsid w:val="00D8003D"/>
    <w:rsid w:val="00D93495"/>
    <w:rsid w:val="00DA0311"/>
    <w:rsid w:val="00E534ED"/>
    <w:rsid w:val="00E86A6F"/>
    <w:rsid w:val="00F2147A"/>
    <w:rsid w:val="00F73E18"/>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F28"/>
  <w14:defaultImageDpi w14:val="32767"/>
  <w15:chartTrackingRefBased/>
  <w15:docId w15:val="{0C821357-DE38-6449-96B7-A969AEBE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4D1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147A"/>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F2147A"/>
    <w:pPr>
      <w:ind w:left="720"/>
      <w:contextualSpacing/>
    </w:pPr>
  </w:style>
  <w:style w:type="table" w:styleId="Grilledutableau">
    <w:name w:val="Table Grid"/>
    <w:basedOn w:val="TableauNormal"/>
    <w:uiPriority w:val="39"/>
    <w:rsid w:val="0022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F4ECD"/>
  </w:style>
  <w:style w:type="paragraph" w:styleId="En-tte">
    <w:name w:val="header"/>
    <w:basedOn w:val="Normal"/>
    <w:link w:val="En-tteCar"/>
    <w:uiPriority w:val="99"/>
    <w:unhideWhenUsed/>
    <w:rsid w:val="00B669F1"/>
    <w:pPr>
      <w:tabs>
        <w:tab w:val="center" w:pos="4680"/>
        <w:tab w:val="right" w:pos="9360"/>
      </w:tabs>
    </w:pPr>
  </w:style>
  <w:style w:type="character" w:customStyle="1" w:styleId="En-tteCar">
    <w:name w:val="En-tête Car"/>
    <w:basedOn w:val="Policepardfaut"/>
    <w:link w:val="En-tte"/>
    <w:uiPriority w:val="99"/>
    <w:rsid w:val="00B669F1"/>
  </w:style>
  <w:style w:type="paragraph" w:styleId="Pieddepage">
    <w:name w:val="footer"/>
    <w:basedOn w:val="Normal"/>
    <w:link w:val="PieddepageCar"/>
    <w:uiPriority w:val="99"/>
    <w:unhideWhenUsed/>
    <w:rsid w:val="00B669F1"/>
    <w:pPr>
      <w:tabs>
        <w:tab w:val="center" w:pos="4680"/>
        <w:tab w:val="right" w:pos="9360"/>
      </w:tabs>
    </w:pPr>
  </w:style>
  <w:style w:type="character" w:customStyle="1" w:styleId="PieddepageCar">
    <w:name w:val="Pied de page Car"/>
    <w:basedOn w:val="Policepardfaut"/>
    <w:link w:val="Pieddepage"/>
    <w:uiPriority w:val="99"/>
    <w:rsid w:val="00B669F1"/>
  </w:style>
  <w:style w:type="character" w:styleId="Accentuation">
    <w:name w:val="Emphasis"/>
    <w:basedOn w:val="Policepardfaut"/>
    <w:uiPriority w:val="20"/>
    <w:qFormat/>
    <w:rsid w:val="001C2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670">
      <w:bodyDiv w:val="1"/>
      <w:marLeft w:val="0"/>
      <w:marRight w:val="0"/>
      <w:marTop w:val="0"/>
      <w:marBottom w:val="0"/>
      <w:divBdr>
        <w:top w:val="none" w:sz="0" w:space="0" w:color="auto"/>
        <w:left w:val="none" w:sz="0" w:space="0" w:color="auto"/>
        <w:bottom w:val="none" w:sz="0" w:space="0" w:color="auto"/>
        <w:right w:val="none" w:sz="0" w:space="0" w:color="auto"/>
      </w:divBdr>
    </w:div>
    <w:div w:id="413860945">
      <w:bodyDiv w:val="1"/>
      <w:marLeft w:val="0"/>
      <w:marRight w:val="0"/>
      <w:marTop w:val="0"/>
      <w:marBottom w:val="0"/>
      <w:divBdr>
        <w:top w:val="none" w:sz="0" w:space="0" w:color="auto"/>
        <w:left w:val="none" w:sz="0" w:space="0" w:color="auto"/>
        <w:bottom w:val="none" w:sz="0" w:space="0" w:color="auto"/>
        <w:right w:val="none" w:sz="0" w:space="0" w:color="auto"/>
      </w:divBdr>
      <w:divsChild>
        <w:div w:id="36584993">
          <w:marLeft w:val="1354"/>
          <w:marRight w:val="0"/>
          <w:marTop w:val="200"/>
          <w:marBottom w:val="0"/>
          <w:divBdr>
            <w:top w:val="none" w:sz="0" w:space="0" w:color="auto"/>
            <w:left w:val="none" w:sz="0" w:space="0" w:color="auto"/>
            <w:bottom w:val="none" w:sz="0" w:space="0" w:color="auto"/>
            <w:right w:val="none" w:sz="0" w:space="0" w:color="auto"/>
          </w:divBdr>
        </w:div>
      </w:divsChild>
    </w:div>
    <w:div w:id="504512288">
      <w:bodyDiv w:val="1"/>
      <w:marLeft w:val="0"/>
      <w:marRight w:val="0"/>
      <w:marTop w:val="0"/>
      <w:marBottom w:val="0"/>
      <w:divBdr>
        <w:top w:val="none" w:sz="0" w:space="0" w:color="auto"/>
        <w:left w:val="none" w:sz="0" w:space="0" w:color="auto"/>
        <w:bottom w:val="none" w:sz="0" w:space="0" w:color="auto"/>
        <w:right w:val="none" w:sz="0" w:space="0" w:color="auto"/>
      </w:divBdr>
      <w:divsChild>
        <w:div w:id="469907494">
          <w:marLeft w:val="1166"/>
          <w:marRight w:val="0"/>
          <w:marTop w:val="200"/>
          <w:marBottom w:val="0"/>
          <w:divBdr>
            <w:top w:val="none" w:sz="0" w:space="0" w:color="auto"/>
            <w:left w:val="none" w:sz="0" w:space="0" w:color="auto"/>
            <w:bottom w:val="none" w:sz="0" w:space="0" w:color="auto"/>
            <w:right w:val="none" w:sz="0" w:space="0" w:color="auto"/>
          </w:divBdr>
        </w:div>
      </w:divsChild>
    </w:div>
    <w:div w:id="2134321436">
      <w:bodyDiv w:val="1"/>
      <w:marLeft w:val="0"/>
      <w:marRight w:val="0"/>
      <w:marTop w:val="0"/>
      <w:marBottom w:val="0"/>
      <w:divBdr>
        <w:top w:val="none" w:sz="0" w:space="0" w:color="auto"/>
        <w:left w:val="none" w:sz="0" w:space="0" w:color="auto"/>
        <w:bottom w:val="none" w:sz="0" w:space="0" w:color="auto"/>
        <w:right w:val="none" w:sz="0" w:space="0" w:color="auto"/>
      </w:divBdr>
      <w:divsChild>
        <w:div w:id="955678375">
          <w:marLeft w:val="135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Charlton-Perez</dc:creator>
  <cp:keywords/>
  <dc:description/>
  <cp:lastModifiedBy>jennifer milton</cp:lastModifiedBy>
  <cp:revision>2</cp:revision>
  <cp:lastPrinted>2021-11-24T11:19:00Z</cp:lastPrinted>
  <dcterms:created xsi:type="dcterms:W3CDTF">2021-12-02T14:01:00Z</dcterms:created>
  <dcterms:modified xsi:type="dcterms:W3CDTF">2021-12-02T14:01:00Z</dcterms:modified>
</cp:coreProperties>
</file>