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1E0533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 xml:space="preserve">Action </w:t>
      </w:r>
      <w:r w:rsidR="001E0533">
        <w:rPr>
          <w:b/>
          <w:bCs/>
        </w:rPr>
        <w:t>Plan</w:t>
      </w:r>
      <w:r w:rsidR="00E445E5">
        <w:rPr>
          <w:b/>
          <w:bCs/>
        </w:rPr>
        <w:t xml:space="preserve">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B19C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1E0533">
      <w:pPr>
        <w:rPr>
          <w:b/>
          <w:bCs/>
        </w:rPr>
      </w:pPr>
      <w:r>
        <w:rPr>
          <w:b/>
          <w:bCs/>
        </w:rPr>
        <w:t xml:space="preserve">Proposal </w:t>
      </w:r>
      <w:r w:rsidR="001E0533">
        <w:rPr>
          <w:b/>
          <w:bCs/>
        </w:rPr>
        <w:t>Title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c>
          <w:tcPr>
            <w:tcW w:w="9610" w:type="dxa"/>
            <w:shd w:val="clear" w:color="auto" w:fill="E6F1FD"/>
          </w:tcPr>
          <w:p w:rsidR="001E0533" w:rsidRDefault="001F10DE" w:rsidP="00BD1C0E">
            <w:pPr>
              <w:pStyle w:val="Heading1"/>
              <w:outlineLvl w:val="0"/>
              <w:rPr>
                <w:b w:val="0"/>
                <w:iCs/>
                <w:sz w:val="24"/>
                <w:szCs w:val="32"/>
              </w:rPr>
            </w:pPr>
            <w:r>
              <w:rPr>
                <w:b w:val="0"/>
                <w:iCs/>
                <w:sz w:val="24"/>
                <w:szCs w:val="32"/>
              </w:rPr>
              <w:t>Distance learning – overcoming the difficulties</w:t>
            </w:r>
          </w:p>
        </w:tc>
      </w:tr>
    </w:tbl>
    <w:p w:rsidR="001E0533" w:rsidRDefault="001E0533" w:rsidP="001E0533">
      <w:pPr>
        <w:rPr>
          <w:b/>
          <w:bCs/>
        </w:rPr>
      </w:pPr>
    </w:p>
    <w:p w:rsidR="001E0533" w:rsidRPr="001E0533" w:rsidRDefault="001E0533" w:rsidP="001E0533">
      <w:pPr>
        <w:rPr>
          <w:b/>
          <w:bCs/>
        </w:rPr>
      </w:pPr>
      <w:r w:rsidRPr="001E0533">
        <w:rPr>
          <w:b/>
          <w:bCs/>
        </w:rPr>
        <w:t>Overview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A general description of the </w:t>
      </w:r>
      <w:r>
        <w:rPr>
          <w:b/>
          <w:bCs/>
          <w:i/>
          <w:iCs/>
          <w:sz w:val="16"/>
          <w:szCs w:val="16"/>
        </w:rPr>
        <w:t xml:space="preserve">proposed action </w:t>
      </w:r>
      <w:r w:rsidRPr="001E0533">
        <w:rPr>
          <w:b/>
          <w:bCs/>
          <w:i/>
          <w:iCs/>
          <w:sz w:val="16"/>
          <w:szCs w:val="16"/>
        </w:rPr>
        <w:t>that summarizes the key goals</w:t>
      </w:r>
      <w:r>
        <w:rPr>
          <w:b/>
          <w:bCs/>
          <w:i/>
          <w:iCs/>
          <w:sz w:val="16"/>
          <w:szCs w:val="16"/>
        </w:rPr>
        <w:t xml:space="preserve"> and states why it</w:t>
      </w:r>
      <w:r w:rsidRPr="001E0533">
        <w:rPr>
          <w:b/>
          <w:bCs/>
          <w:i/>
          <w:iCs/>
          <w:sz w:val="16"/>
          <w:szCs w:val="16"/>
        </w:rPr>
        <w:t xml:space="preserve"> is important to accomplish.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730"/>
        </w:trPr>
        <w:tc>
          <w:tcPr>
            <w:tcW w:w="9610" w:type="dxa"/>
            <w:shd w:val="clear" w:color="auto" w:fill="E6F1FD"/>
          </w:tcPr>
          <w:p w:rsidR="002263FC" w:rsidRDefault="001F10DE" w:rsidP="002263F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63FC">
              <w:rPr>
                <w:b/>
                <w:bCs/>
              </w:rPr>
              <w:t xml:space="preserve">Bandwidth, </w:t>
            </w:r>
          </w:p>
          <w:p w:rsidR="002263FC" w:rsidRDefault="001F10DE" w:rsidP="002263F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63FC">
              <w:rPr>
                <w:b/>
                <w:bCs/>
              </w:rPr>
              <w:t>internet access</w:t>
            </w:r>
            <w:r w:rsidR="002263FC" w:rsidRPr="002263FC">
              <w:rPr>
                <w:b/>
                <w:bCs/>
              </w:rPr>
              <w:t xml:space="preserve"> (user and learner side)</w:t>
            </w:r>
            <w:r w:rsidRPr="002263FC">
              <w:rPr>
                <w:b/>
                <w:bCs/>
              </w:rPr>
              <w:t>,</w:t>
            </w:r>
          </w:p>
          <w:p w:rsidR="002263FC" w:rsidRDefault="001F10DE" w:rsidP="002263F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63FC">
              <w:rPr>
                <w:b/>
                <w:bCs/>
              </w:rPr>
              <w:t>costs</w:t>
            </w:r>
            <w:r w:rsidR="002263FC" w:rsidRPr="002263FC">
              <w:rPr>
                <w:b/>
                <w:bCs/>
              </w:rPr>
              <w:t xml:space="preserve"> of development and</w:t>
            </w:r>
            <w:r w:rsidR="002263FC">
              <w:rPr>
                <w:b/>
                <w:bCs/>
              </w:rPr>
              <w:t xml:space="preserve"> setting the course </w:t>
            </w:r>
            <w:r w:rsidR="009C1C98">
              <w:rPr>
                <w:b/>
                <w:bCs/>
              </w:rPr>
              <w:t>-</w:t>
            </w:r>
            <w:proofErr w:type="spellStart"/>
            <w:r w:rsidR="009C1C98">
              <w:rPr>
                <w:b/>
                <w:bCs/>
              </w:rPr>
              <w:t>pediagodigal</w:t>
            </w:r>
            <w:proofErr w:type="spellEnd"/>
          </w:p>
          <w:p w:rsidR="002263FC" w:rsidRDefault="002263FC" w:rsidP="002263F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63FC">
              <w:rPr>
                <w:b/>
                <w:bCs/>
              </w:rPr>
              <w:t>teacher preparedness to give online learning, imagination, not enough role models,</w:t>
            </w:r>
          </w:p>
          <w:p w:rsidR="001E0533" w:rsidRPr="002263FC" w:rsidRDefault="002263FC" w:rsidP="002263F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263FC">
              <w:rPr>
                <w:b/>
                <w:bCs/>
              </w:rPr>
              <w:t xml:space="preserve"> student preparedness, </w:t>
            </w:r>
          </w:p>
        </w:tc>
      </w:tr>
    </w:tbl>
    <w:p w:rsidR="00E445E5" w:rsidRDefault="00E445E5" w:rsidP="0091284E">
      <w:pPr>
        <w:rPr>
          <w:b/>
          <w:bCs/>
        </w:rPr>
      </w:pPr>
    </w:p>
    <w:p w:rsidR="001E0533" w:rsidRPr="0091284E" w:rsidRDefault="001E0533" w:rsidP="001E0533">
      <w:pPr>
        <w:rPr>
          <w:b/>
          <w:bCs/>
        </w:rPr>
      </w:pPr>
      <w:r>
        <w:rPr>
          <w:b/>
          <w:bCs/>
        </w:rPr>
        <w:t>Proposed Partners and their Roles</w:t>
      </w:r>
      <w:r w:rsidR="005A71A0">
        <w:rPr>
          <w:b/>
          <w:bCs/>
        </w:rPr>
        <w:t>, including the WMO Secretariat</w:t>
      </w:r>
    </w:p>
    <w:p w:rsidR="001E0533" w:rsidRPr="001E0533" w:rsidRDefault="001E0533" w:rsidP="001E0533">
      <w:pPr>
        <w:rPr>
          <w:b/>
          <w:bCs/>
          <w:sz w:val="16"/>
          <w:szCs w:val="16"/>
        </w:rPr>
      </w:pPr>
      <w:r w:rsidRPr="001E0533">
        <w:rPr>
          <w:b/>
          <w:bCs/>
          <w:i/>
          <w:iCs/>
          <w:sz w:val="16"/>
          <w:szCs w:val="16"/>
        </w:rPr>
        <w:t xml:space="preserve">Primary </w:t>
      </w:r>
      <w:r>
        <w:rPr>
          <w:b/>
          <w:bCs/>
          <w:i/>
          <w:iCs/>
          <w:sz w:val="16"/>
          <w:szCs w:val="16"/>
        </w:rPr>
        <w:t>partners</w:t>
      </w:r>
      <w:r w:rsidRPr="001E0533">
        <w:rPr>
          <w:b/>
          <w:bCs/>
          <w:i/>
          <w:iCs/>
          <w:sz w:val="16"/>
          <w:szCs w:val="16"/>
        </w:rPr>
        <w:t xml:space="preserve">, </w:t>
      </w:r>
      <w:r>
        <w:rPr>
          <w:b/>
          <w:bCs/>
          <w:i/>
          <w:iCs/>
          <w:sz w:val="16"/>
          <w:szCs w:val="16"/>
        </w:rPr>
        <w:t xml:space="preserve">additional partners desired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RPr="001E0533" w:rsidTr="001E0533">
        <w:trPr>
          <w:trHeight w:val="2667"/>
        </w:trPr>
        <w:tc>
          <w:tcPr>
            <w:tcW w:w="9610" w:type="dxa"/>
            <w:shd w:val="clear" w:color="auto" w:fill="E6F1FD"/>
          </w:tcPr>
          <w:p w:rsidR="001E0533" w:rsidRDefault="002263FC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IBE,</w:t>
            </w:r>
            <w:r w:rsidR="00431864">
              <w:rPr>
                <w:b/>
                <w:bCs/>
              </w:rPr>
              <w:t>AKMKT, (missed one)</w:t>
            </w:r>
          </w:p>
          <w:p w:rsidR="002263FC" w:rsidRDefault="002263FC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SAWS, COMET</w:t>
            </w:r>
          </w:p>
          <w:p w:rsidR="002263FC" w:rsidRDefault="002263FC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ENA,</w:t>
            </w:r>
          </w:p>
          <w:p w:rsidR="002263FC" w:rsidRDefault="002263FC" w:rsidP="001E0533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MRTI, CMA, FUTA, </w:t>
            </w:r>
          </w:p>
          <w:p w:rsidR="002263FC" w:rsidRPr="001E0533" w:rsidRDefault="002263FC" w:rsidP="001E0533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E445E5" w:rsidRDefault="00E445E5" w:rsidP="0091284E">
      <w:pPr>
        <w:rPr>
          <w:b/>
          <w:bCs/>
        </w:rPr>
      </w:pPr>
    </w:p>
    <w:p w:rsidR="0091284E" w:rsidRDefault="00E445E5" w:rsidP="001E0533">
      <w:pPr>
        <w:keepNext/>
        <w:rPr>
          <w:b/>
          <w:bCs/>
        </w:rPr>
      </w:pPr>
      <w:r w:rsidRPr="00E445E5">
        <w:rPr>
          <w:b/>
          <w:bCs/>
        </w:rPr>
        <w:lastRenderedPageBreak/>
        <w:t>Expected Outcomes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2254"/>
        </w:trPr>
        <w:tc>
          <w:tcPr>
            <w:tcW w:w="10690" w:type="dxa"/>
            <w:shd w:val="clear" w:color="auto" w:fill="E6F1FD"/>
          </w:tcPr>
          <w:p w:rsidR="001E0533" w:rsidRDefault="002263FC" w:rsidP="009A38E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Design constraint, learner will either use phone or network at home or work. Solution – downloadable models, keep is simple, mailing resources – use work addresses that is safe, </w:t>
            </w:r>
            <w:r w:rsidR="009A38EE">
              <w:rPr>
                <w:sz w:val="22"/>
              </w:rPr>
              <w:t xml:space="preserve">design for use by mobile/smart phone, bandwidth is for the center to solve, state in course the minimum requirements – design with the target audience,  </w:t>
            </w:r>
          </w:p>
          <w:p w:rsidR="009C1C98" w:rsidRDefault="009C1C98" w:rsidP="009A38E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Access to bandwidth – bandwidth might be available but access not.</w:t>
            </w:r>
          </w:p>
          <w:p w:rsidR="009C1C98" w:rsidRDefault="009C1C98" w:rsidP="001529C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 Design – keep the language simple, software keep to software that is familiar to students, </w:t>
            </w:r>
            <w:r w:rsidR="001529C5">
              <w:rPr>
                <w:sz w:val="22"/>
              </w:rPr>
              <w:t xml:space="preserve">use documents sometimes to be downloaded, assignments, YouTube, audience analyses, </w:t>
            </w:r>
          </w:p>
          <w:p w:rsidR="000E6E73" w:rsidRDefault="000E6E73" w:rsidP="001529C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Teacher preparation – design and run the course, look at other online course to learn, </w:t>
            </w:r>
          </w:p>
          <w:p w:rsidR="00F01281" w:rsidRDefault="00F01281" w:rsidP="001529C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Student preparation: 2 different students a) use to websites, 2) no idea</w:t>
            </w:r>
            <w:r w:rsidR="00940120">
              <w:rPr>
                <w:sz w:val="22"/>
              </w:rPr>
              <w:t xml:space="preserve"> – guide on how to successfully complete the course, </w:t>
            </w:r>
            <w:r w:rsidR="000E6E73">
              <w:rPr>
                <w:sz w:val="22"/>
              </w:rPr>
              <w:t xml:space="preserve">get comfortable with the technology, </w:t>
            </w:r>
          </w:p>
        </w:tc>
      </w:tr>
    </w:tbl>
    <w:p w:rsidR="001E0533" w:rsidRDefault="001E0533" w:rsidP="001E0533">
      <w:pPr>
        <w:pStyle w:val="NormalWeb"/>
        <w:spacing w:before="0" w:beforeAutospacing="0" w:after="0" w:afterAutospacing="0"/>
        <w:rPr>
          <w:sz w:val="22"/>
        </w:rPr>
      </w:pPr>
    </w:p>
    <w:p w:rsidR="001E0533" w:rsidRPr="001E0533" w:rsidRDefault="001E0533" w:rsidP="001E0533">
      <w:pPr>
        <w:keepNext/>
        <w:rPr>
          <w:b/>
          <w:bCs/>
        </w:rPr>
      </w:pPr>
    </w:p>
    <w:p w:rsidR="0091284E" w:rsidRPr="0091284E" w:rsidRDefault="001E0533" w:rsidP="0091284E">
      <w:pPr>
        <w:rPr>
          <w:b/>
          <w:bCs/>
        </w:rPr>
      </w:pPr>
      <w:r>
        <w:rPr>
          <w:b/>
          <w:bCs/>
        </w:rPr>
        <w:t>Proposed Steps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1E0533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9A38EE" w:rsidP="00152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bandwidth – design for target audience, </w:t>
            </w:r>
            <w:r w:rsidR="00AE535F">
              <w:rPr>
                <w:sz w:val="22"/>
              </w:rPr>
              <w:t>RTC to take note of bandwidth constraints in their region and communicate,</w:t>
            </w:r>
          </w:p>
          <w:p w:rsidR="001529C5" w:rsidRDefault="001529C5" w:rsidP="00152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be aware of limitations</w:t>
            </w:r>
          </w:p>
          <w:p w:rsidR="001529C5" w:rsidRDefault="001529C5" w:rsidP="00152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design according to available hardware, use the audience analyses to shorten or lengthen course, practical aspects needs to be demonstrated, </w:t>
            </w:r>
            <w:r w:rsidR="00416886">
              <w:rPr>
                <w:sz w:val="22"/>
              </w:rPr>
              <w:t xml:space="preserve">the practical skills will not be able to be done online totally due or you need an online tutor online to be able to give feedback. </w:t>
            </w:r>
          </w:p>
          <w:p w:rsidR="000E6E73" w:rsidRDefault="000E6E73" w:rsidP="00152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Teacher preparation – assist teachers with online help, use other examples</w:t>
            </w:r>
          </w:p>
          <w:p w:rsidR="001529C5" w:rsidRDefault="003F41B3" w:rsidP="00152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Make the tasks smaller, </w:t>
            </w:r>
            <w:r w:rsidR="00940120">
              <w:rPr>
                <w:sz w:val="22"/>
              </w:rPr>
              <w:t xml:space="preserve">limited scrolling, </w:t>
            </w:r>
            <w:r w:rsidR="000E6E73">
              <w:rPr>
                <w:sz w:val="22"/>
              </w:rPr>
              <w:t xml:space="preserve">use forum to let them communication, use the logs to track students, </w:t>
            </w:r>
          </w:p>
        </w:tc>
      </w:tr>
    </w:tbl>
    <w:p w:rsidR="0091284E" w:rsidRDefault="0091284E" w:rsidP="0091284E"/>
    <w:p w:rsidR="001E0533" w:rsidRPr="0091284E" w:rsidRDefault="00B4055E" w:rsidP="001E0533">
      <w:pPr>
        <w:rPr>
          <w:b/>
          <w:bCs/>
        </w:rPr>
      </w:pPr>
      <w:r>
        <w:rPr>
          <w:b/>
          <w:bCs/>
        </w:rPr>
        <w:t xml:space="preserve">Resources </w:t>
      </w:r>
      <w:r w:rsidR="00262776">
        <w:rPr>
          <w:b/>
          <w:bCs/>
        </w:rPr>
        <w:t>Required (</w:t>
      </w:r>
      <w:r>
        <w:rPr>
          <w:b/>
          <w:bCs/>
        </w:rPr>
        <w:t>tools, skilled experts, financial, others)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1E0533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1E0533" w:rsidRDefault="001E0533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91284E"/>
    <w:p w:rsidR="00B4055E" w:rsidRPr="0091284E" w:rsidRDefault="00B4055E" w:rsidP="00B4055E">
      <w:pPr>
        <w:rPr>
          <w:b/>
          <w:bCs/>
        </w:rPr>
      </w:pPr>
      <w:r>
        <w:rPr>
          <w:b/>
          <w:bCs/>
        </w:rPr>
        <w:t>Key Milestones and Proposed Schedule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4055E" w:rsidTr="00BD1C0E">
        <w:trPr>
          <w:trHeight w:val="1893"/>
        </w:trPr>
        <w:tc>
          <w:tcPr>
            <w:tcW w:w="10690" w:type="dxa"/>
            <w:shd w:val="clear" w:color="auto" w:fill="E6F1FD"/>
          </w:tcPr>
          <w:p w:rsidR="00B4055E" w:rsidRDefault="00B4055E" w:rsidP="00BD1C0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91284E" w:rsidRDefault="0091284E" w:rsidP="00B4055E"/>
    <w:sectPr w:rsidR="0091284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DB" w:rsidRDefault="002656DB" w:rsidP="00E445E5">
      <w:pPr>
        <w:spacing w:after="0" w:line="240" w:lineRule="auto"/>
      </w:pPr>
      <w:r>
        <w:separator/>
      </w:r>
    </w:p>
  </w:endnote>
  <w:endnote w:type="continuationSeparator" w:id="0">
    <w:p w:rsidR="002656DB" w:rsidRDefault="002656DB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DB" w:rsidRDefault="002656DB" w:rsidP="00E445E5">
      <w:pPr>
        <w:spacing w:after="0" w:line="240" w:lineRule="auto"/>
      </w:pPr>
      <w:r>
        <w:separator/>
      </w:r>
    </w:p>
  </w:footnote>
  <w:footnote w:type="continuationSeparator" w:id="0">
    <w:p w:rsidR="002656DB" w:rsidRDefault="002656DB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9E1"/>
    <w:multiLevelType w:val="hybridMultilevel"/>
    <w:tmpl w:val="2C74BD4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2E41"/>
    <w:multiLevelType w:val="hybridMultilevel"/>
    <w:tmpl w:val="C30C5F2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50C"/>
    <w:multiLevelType w:val="hybridMultilevel"/>
    <w:tmpl w:val="5A2235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0E6E73"/>
    <w:rsid w:val="000F46D7"/>
    <w:rsid w:val="001529C5"/>
    <w:rsid w:val="001E0533"/>
    <w:rsid w:val="001F10DE"/>
    <w:rsid w:val="002263FC"/>
    <w:rsid w:val="00262776"/>
    <w:rsid w:val="002656DB"/>
    <w:rsid w:val="003F41B3"/>
    <w:rsid w:val="00416886"/>
    <w:rsid w:val="00431864"/>
    <w:rsid w:val="005A71A0"/>
    <w:rsid w:val="0063718E"/>
    <w:rsid w:val="00676C47"/>
    <w:rsid w:val="00782D8C"/>
    <w:rsid w:val="0091284E"/>
    <w:rsid w:val="00940120"/>
    <w:rsid w:val="009A38EE"/>
    <w:rsid w:val="009C1C98"/>
    <w:rsid w:val="00AE535F"/>
    <w:rsid w:val="00AF60C9"/>
    <w:rsid w:val="00B4055E"/>
    <w:rsid w:val="00C70E76"/>
    <w:rsid w:val="00E445E5"/>
    <w:rsid w:val="00F0128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2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0533"/>
    <w:pPr>
      <w:spacing w:before="480" w:after="120"/>
      <w:outlineLvl w:val="0"/>
    </w:pPr>
    <w:rPr>
      <w:rFonts w:ascii="Arial" w:eastAsia="SimSun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1E0533"/>
    <w:rPr>
      <w:rFonts w:ascii="Arial" w:eastAsia="SimSun" w:hAnsi="Arial" w:cs="Arial"/>
      <w:b/>
      <w:bCs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1E0533"/>
    <w:pPr>
      <w:spacing w:after="0" w:line="240" w:lineRule="auto"/>
    </w:pPr>
    <w:rPr>
      <w:rFonts w:ascii="Calibri" w:eastAsia="SimSu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E0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1E05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2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2019-11-03T07:09:00Z</dcterms:created>
  <dcterms:modified xsi:type="dcterms:W3CDTF">2019-11-03T07:09:00Z</dcterms:modified>
</cp:coreProperties>
</file>