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Рабочий лист для выбора учебных решений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Рассматриваемые учебные решения (формы обучения):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24"/>
          <w:szCs w:val="24"/>
          <w:rtl w:val="0"/>
        </w:rPr>
        <w:t xml:space="preserve">Формальное обучение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(направляемое учителем или куратором, предметное обучение, включающее какое-либо оценивание и подтверждаемое сертификатом). Аудиторное или он-лайн, или подготовка на рабочем месте.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7030a0"/>
          <w:sz w:val="24"/>
          <w:szCs w:val="24"/>
          <w:rtl w:val="0"/>
        </w:rPr>
        <w:t xml:space="preserve">Полу-формальное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(в большей степени индивидуальное, меньше конкретных результатов обучения). Подготовка на рабочем месте, кураторство/менторство, наставничество.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24"/>
          <w:szCs w:val="24"/>
          <w:rtl w:val="0"/>
        </w:rPr>
        <w:t xml:space="preserve">Неформальное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(самостоятельное или самонаправленное) Самостоятельное обучение, Сообщества практикующих, конференции, производственный опыт.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Возможные критерии выбора приведены в конце этой таблицы.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Какие практические критерии или ограничения ограничивают ваши возможности для обучения? Исключите решения, которые не соответствуют практическим критериям.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fdeada" w:val="clea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Какие решения соответствуют установленным образовательным потребностям и намеченным результатам обучения? </w:t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fdeada" w:val="clea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Какие педагогические ценности заинтересованных сторон, в том числе участников, нужно учитывать?</w:t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fdeada" w:val="clea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На основе вышерассмотренных критериев обоснуйте выбор какого-то учебного решения (или смешанного обучения).</w:t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fdeada" w:val="clea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Некоторые возможные критерии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7030a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24"/>
          <w:szCs w:val="24"/>
          <w:rtl w:val="0"/>
        </w:rPr>
        <w:t xml:space="preserve">Практические критерии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Время, доступное для планирования и разработки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Бюджет для планирования и разработки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Географическое распределение студентов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Наличие обучающего персонала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Навыки обучающего персонала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Наличие экспертизы контента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Количество обучающихся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color w:val="7030a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24"/>
          <w:szCs w:val="24"/>
          <w:rtl w:val="0"/>
        </w:rPr>
        <w:t xml:space="preserve">Образовательные потребности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Цели обучения (профессиональное мастерство, базовые навыки, необходимые знания, непрерывное обучение)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Частота применения результатов обучения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Время, доступное учащимся для достижения целей обучения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«Долговечность» учебного материала (как долго он будет оставаться актуальным?)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Формальность оценки (сертификат, демонстрация улучшения, подтверждение завершения, без формальной оценки)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Сложность содержания, которое нужно освоить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Характер изучаемых вопросов (практические навыки, принятие решений, групповые или командные процессы, …)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Желание создать постоянное сообщество учащихся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Начальная подготовка учащихся (базовые знания)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Разнообразие студентов (например, по уровню подготовки или принадлежности определённой организации)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Насколько высок уровень экспертизы обучения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color w:val="7030a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24"/>
          <w:szCs w:val="24"/>
          <w:rtl w:val="0"/>
        </w:rPr>
        <w:t xml:space="preserve">Педагогические ценности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Насколько сильно заинтересованные стороны и студенты предпочитают следующее?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Совместное обучение ИЛИ индивидуальное обучение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Ориентированное на студентов ИЛИ ориентированное на преподавателя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Направляемое студентом ИЛИ преподавателем (индивидуальные планы обучения ИЛИ стандартизированные планы)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• Естественная среда обучения ИЛИ специально созданная среда (на рабочем месте ИЛИ в аудитории, в Интернете)</w:t>
      </w:r>
    </w:p>
    <w:sectPr>
      <w:headerReference r:id="rId6" w:type="default"/>
      <w:footerReference r:id="rId7" w:type="default"/>
      <w:pgSz w:h="16839" w:w="11907"/>
      <w:pgMar w:bottom="1440" w:top="1440" w:left="1440" w:right="1440" w:header="907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Version 1.0 2017</w:t>
      <w:tab/>
      <w:tab/>
      <w:tab/>
      <w:tab/>
      <w:tab/>
    </w:r>
    <w:r w:rsidDel="00000000" w:rsidR="00000000" w:rsidRPr="00000000">
      <w:rPr>
        <w:sz w:val="18"/>
        <w:szCs w:val="18"/>
      </w:rPr>
      <w:drawing>
        <wp:inline distB="0" distT="0" distL="0" distR="0">
          <wp:extent cx="714591" cy="25173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591" cy="2517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Ресурсы ВМО для преподавателей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