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A64C" w14:textId="2283BDE4" w:rsidR="00AC658C" w:rsidRPr="00DE2953" w:rsidRDefault="00B4725D" w:rsidP="0012481B">
      <w:pPr>
        <w:spacing w:after="240"/>
        <w:jc w:val="center"/>
        <w:rPr>
          <w:rFonts w:eastAsia="SimSun" w:cs="Arial"/>
          <w:b/>
          <w:bCs/>
          <w:sz w:val="22"/>
        </w:rPr>
      </w:pPr>
      <w:r w:rsidRPr="00DE2953">
        <w:rPr>
          <w:rFonts w:eastAsia="SimSun" w:cs="Arial"/>
          <w:b/>
          <w:bCs/>
          <w:sz w:val="22"/>
        </w:rPr>
        <w:t>I</w:t>
      </w:r>
      <w:r w:rsidR="00AC658C" w:rsidRPr="00DE2953">
        <w:rPr>
          <w:rFonts w:eastAsia="SimSun" w:cs="Arial"/>
          <w:b/>
          <w:bCs/>
          <w:sz w:val="22"/>
        </w:rPr>
        <w:t xml:space="preserve">nformation </w:t>
      </w:r>
      <w:r w:rsidRPr="00DE2953">
        <w:rPr>
          <w:rFonts w:eastAsia="SimSun" w:cs="Arial"/>
          <w:b/>
          <w:bCs/>
          <w:sz w:val="22"/>
        </w:rPr>
        <w:t xml:space="preserve">note </w:t>
      </w:r>
      <w:r w:rsidR="00AC658C" w:rsidRPr="00DE2953">
        <w:rPr>
          <w:rFonts w:eastAsia="SimSun" w:cs="Arial"/>
          <w:b/>
          <w:bCs/>
          <w:sz w:val="22"/>
        </w:rPr>
        <w:t>o</w:t>
      </w:r>
      <w:r w:rsidR="00F31C6F">
        <w:rPr>
          <w:rFonts w:eastAsia="SimSun" w:cs="Arial"/>
          <w:b/>
          <w:bCs/>
          <w:sz w:val="22"/>
        </w:rPr>
        <w:t>n</w:t>
      </w:r>
      <w:r w:rsidR="00000A70" w:rsidRPr="00DE2953">
        <w:rPr>
          <w:rFonts w:eastAsia="SimSun" w:cs="Arial"/>
          <w:b/>
          <w:bCs/>
          <w:sz w:val="22"/>
        </w:rPr>
        <w:t xml:space="preserve"> the Webinar </w:t>
      </w:r>
      <w:r w:rsidR="004B7A7A" w:rsidRPr="00DE2953">
        <w:rPr>
          <w:rFonts w:eastAsia="SimSun" w:cs="Arial"/>
          <w:b/>
          <w:bCs/>
          <w:sz w:val="22"/>
        </w:rPr>
        <w:t>f</w:t>
      </w:r>
      <w:r w:rsidR="00000A70" w:rsidRPr="00DE2953">
        <w:rPr>
          <w:rFonts w:eastAsia="SimSun" w:cs="Arial"/>
          <w:b/>
          <w:bCs/>
          <w:sz w:val="22"/>
        </w:rPr>
        <w:t>o</w:t>
      </w:r>
      <w:r w:rsidR="004B7A7A" w:rsidRPr="00DE2953">
        <w:rPr>
          <w:rFonts w:eastAsia="SimSun" w:cs="Arial"/>
          <w:b/>
          <w:bCs/>
          <w:sz w:val="22"/>
        </w:rPr>
        <w:t>r</w:t>
      </w:r>
      <w:r w:rsidR="00AC658C" w:rsidRPr="00DE2953">
        <w:rPr>
          <w:rFonts w:eastAsia="SimSun" w:cs="Arial"/>
          <w:b/>
          <w:bCs/>
          <w:sz w:val="22"/>
        </w:rPr>
        <w:t xml:space="preserve"> </w:t>
      </w:r>
      <w:r w:rsidR="00787315" w:rsidRPr="00DE2953">
        <w:rPr>
          <w:rFonts w:eastAsia="SimSun" w:cs="Arial"/>
          <w:b/>
          <w:bCs/>
          <w:sz w:val="22"/>
        </w:rPr>
        <w:t xml:space="preserve">Regional WIGOS Centres </w:t>
      </w:r>
      <w:r w:rsidR="004B7A7A" w:rsidRPr="00DE2953">
        <w:rPr>
          <w:rFonts w:eastAsia="SimSun" w:cs="Arial"/>
          <w:b/>
          <w:bCs/>
          <w:sz w:val="22"/>
        </w:rPr>
        <w:t xml:space="preserve">on </w:t>
      </w:r>
      <w:r w:rsidR="002F2021">
        <w:rPr>
          <w:rFonts w:eastAsia="SimSun" w:cs="Arial"/>
          <w:b/>
          <w:bCs/>
          <w:sz w:val="22"/>
        </w:rPr>
        <w:t xml:space="preserve">the updates </w:t>
      </w:r>
      <w:r w:rsidR="008C3022">
        <w:rPr>
          <w:rFonts w:eastAsia="SimSun" w:cs="Arial"/>
          <w:b/>
          <w:bCs/>
          <w:sz w:val="22"/>
        </w:rPr>
        <w:t xml:space="preserve">to the </w:t>
      </w:r>
      <w:r w:rsidR="002F2021">
        <w:rPr>
          <w:rFonts w:eastAsia="SimSun" w:cs="Arial"/>
          <w:b/>
          <w:bCs/>
          <w:sz w:val="22"/>
        </w:rPr>
        <w:t xml:space="preserve">Technical Guidelines </w:t>
      </w:r>
      <w:r w:rsidR="008C3022">
        <w:rPr>
          <w:rFonts w:eastAsia="SimSun" w:cs="Arial"/>
          <w:b/>
          <w:bCs/>
          <w:sz w:val="22"/>
        </w:rPr>
        <w:t>WMO-No. 1224</w:t>
      </w:r>
    </w:p>
    <w:tbl>
      <w:tblPr>
        <w:tblStyle w:val="MediumList2-Accent1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755"/>
      </w:tblGrid>
      <w:tr w:rsidR="00AC658C" w:rsidRPr="00787315" w14:paraId="4FE18D7D" w14:textId="77777777" w:rsidTr="00124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2A71E9" w14:textId="77777777" w:rsidR="00AC658C" w:rsidRPr="00787315" w:rsidRDefault="00AC658C" w:rsidP="008E4A7E">
            <w:r w:rsidRPr="00787315">
              <w:t>General description</w:t>
            </w:r>
          </w:p>
        </w:tc>
        <w:tc>
          <w:tcPr>
            <w:tcW w:w="67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26F3CC" w14:textId="692976C4" w:rsidR="0008249E" w:rsidRDefault="003060D8" w:rsidP="003A3B70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Updates to t</w:t>
            </w:r>
            <w:r w:rsidR="008C3022">
              <w:t xml:space="preserve">he </w:t>
            </w:r>
            <w:r w:rsidR="002942E6" w:rsidRPr="008C3022">
              <w:t xml:space="preserve">Technical Guidelines </w:t>
            </w:r>
            <w:r w:rsidR="002942E6">
              <w:t xml:space="preserve">for </w:t>
            </w:r>
            <w:r w:rsidR="008C3022" w:rsidRPr="008C3022">
              <w:t xml:space="preserve">Regional WIGOS Centres </w:t>
            </w:r>
            <w:r w:rsidR="008C3022">
              <w:t xml:space="preserve">(RWC) </w:t>
            </w:r>
            <w:r w:rsidR="008C3022" w:rsidRPr="008C3022">
              <w:t xml:space="preserve">on </w:t>
            </w:r>
            <w:r w:rsidR="009F0C76">
              <w:t xml:space="preserve">the WIGOS Data Quality Monitoring System (WDQMS), </w:t>
            </w:r>
            <w:r w:rsidR="009F0C76" w:rsidRPr="008C3022">
              <w:t>WMO-No. 1224</w:t>
            </w:r>
            <w:r>
              <w:t>,</w:t>
            </w:r>
            <w:r w:rsidR="009F0C76">
              <w:t xml:space="preserve"> ha</w:t>
            </w:r>
            <w:r>
              <w:t>ve</w:t>
            </w:r>
            <w:r w:rsidR="009F0C76">
              <w:t xml:space="preserve"> been </w:t>
            </w:r>
            <w:r>
              <w:t>approved by INFCOM-3</w:t>
            </w:r>
            <w:r w:rsidR="007937FA">
              <w:t>, April 2024, that include</w:t>
            </w:r>
            <w:r w:rsidR="000D330E">
              <w:t xml:space="preserve"> </w:t>
            </w:r>
            <w:r w:rsidR="00FF2613">
              <w:t xml:space="preserve">various </w:t>
            </w:r>
            <w:r w:rsidR="000D330E">
              <w:t xml:space="preserve">new </w:t>
            </w:r>
            <w:r w:rsidR="00363202">
              <w:t>guidelines plus</w:t>
            </w:r>
            <w:r w:rsidR="007937FA">
              <w:t xml:space="preserve"> </w:t>
            </w:r>
            <w:r w:rsidR="00070137">
              <w:t>edits and additions</w:t>
            </w:r>
            <w:r w:rsidR="00363202">
              <w:t>,</w:t>
            </w:r>
            <w:r w:rsidR="00FF2613">
              <w:t xml:space="preserve"> </w:t>
            </w:r>
            <w:r w:rsidR="008D741C">
              <w:t>mostly</w:t>
            </w:r>
            <w:r w:rsidR="00FF2613">
              <w:t xml:space="preserve"> regarding WIGOS metadata management </w:t>
            </w:r>
            <w:r w:rsidR="00C31F88">
              <w:t>and</w:t>
            </w:r>
            <w:r>
              <w:t xml:space="preserve"> </w:t>
            </w:r>
            <w:r w:rsidR="008C3022" w:rsidRPr="008C3022">
              <w:t xml:space="preserve">related </w:t>
            </w:r>
            <w:r w:rsidR="00070137" w:rsidRPr="008C3022">
              <w:t>t</w:t>
            </w:r>
            <w:r w:rsidR="00070137">
              <w:t xml:space="preserve">o the Global Basic Observing Network </w:t>
            </w:r>
            <w:r w:rsidR="0008249E">
              <w:t>(</w:t>
            </w:r>
            <w:r w:rsidR="00070137" w:rsidRPr="008C3022">
              <w:t>GBON</w:t>
            </w:r>
            <w:r w:rsidR="0008249E">
              <w:t>).</w:t>
            </w:r>
          </w:p>
          <w:p w14:paraId="134259E9" w14:textId="20A1E232" w:rsidR="00AC658C" w:rsidRDefault="0037759B" w:rsidP="003A3B70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Staff operating </w:t>
            </w:r>
            <w:r w:rsidR="00AC658C" w:rsidRPr="00787315">
              <w:t>RWCs</w:t>
            </w:r>
            <w:r w:rsidR="0008249E">
              <w:t>, as well as relevant National Focal Points (NFPs</w:t>
            </w:r>
            <w:r w:rsidR="00AC658C" w:rsidRPr="00787315">
              <w:t>)</w:t>
            </w:r>
            <w:r>
              <w:t xml:space="preserve"> from their affiliated countries, </w:t>
            </w:r>
            <w:r w:rsidR="000D330E">
              <w:t>are not very familiar with such updates</w:t>
            </w:r>
            <w:r w:rsidR="00365486">
              <w:t xml:space="preserve">, therefore, </w:t>
            </w:r>
            <w:r w:rsidR="00E47EDC">
              <w:t xml:space="preserve">awareness is required as well </w:t>
            </w:r>
            <w:r w:rsidR="00C453A8">
              <w:t xml:space="preserve">as </w:t>
            </w:r>
            <w:r w:rsidR="003F24CD">
              <w:t xml:space="preserve">interpretation of </w:t>
            </w:r>
            <w:r w:rsidR="00AB3633">
              <w:t>the updated guidelines</w:t>
            </w:r>
            <w:r w:rsidR="004B759C">
              <w:t xml:space="preserve"> towards</w:t>
            </w:r>
            <w:r w:rsidR="00347CD1">
              <w:t xml:space="preserve"> implementation in</w:t>
            </w:r>
            <w:r w:rsidR="004B759C">
              <w:t xml:space="preserve"> their</w:t>
            </w:r>
            <w:r w:rsidR="00347CD1">
              <w:t xml:space="preserve"> operations</w:t>
            </w:r>
            <w:r w:rsidR="00AC658C" w:rsidRPr="00787315">
              <w:t>.</w:t>
            </w:r>
          </w:p>
          <w:p w14:paraId="482E80B3" w14:textId="77777777" w:rsidR="00DD0E89" w:rsidRDefault="00820C11" w:rsidP="00AB3633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This is the 1</w:t>
            </w:r>
            <w:r w:rsidRPr="00820C11">
              <w:rPr>
                <w:vertAlign w:val="superscript"/>
              </w:rPr>
              <w:t>st</w:t>
            </w:r>
            <w:r>
              <w:t xml:space="preserve"> of two webinars related to </w:t>
            </w:r>
            <w:r w:rsidR="0044743C" w:rsidRPr="008C3022">
              <w:t>WMO-No. 1224</w:t>
            </w:r>
            <w:r w:rsidR="00FC4B3D">
              <w:t>. A 2</w:t>
            </w:r>
            <w:r w:rsidR="00FC4B3D" w:rsidRPr="00FC4B3D">
              <w:rPr>
                <w:vertAlign w:val="superscript"/>
              </w:rPr>
              <w:t>nd</w:t>
            </w:r>
            <w:r w:rsidR="00FC4B3D">
              <w:t xml:space="preserve"> webinar </w:t>
            </w:r>
            <w:r w:rsidR="00D31B04">
              <w:t xml:space="preserve">on </w:t>
            </w:r>
            <w:r w:rsidR="00D31B04" w:rsidRPr="00D31B04">
              <w:t>the implementation of updated WMO-No. 1224 regarding management</w:t>
            </w:r>
            <w:r w:rsidR="00FC4B3D">
              <w:t xml:space="preserve"> </w:t>
            </w:r>
            <w:r w:rsidR="00D31B04">
              <w:t xml:space="preserve">of </w:t>
            </w:r>
            <w:r w:rsidR="00D31B04" w:rsidRPr="00D31B04">
              <w:t xml:space="preserve">GBON tickets </w:t>
            </w:r>
            <w:r w:rsidR="00FC4B3D">
              <w:t xml:space="preserve">is planned </w:t>
            </w:r>
            <w:r w:rsidR="008E7E19">
              <w:t>towards the end of March 2025</w:t>
            </w:r>
          </w:p>
          <w:p w14:paraId="750159DE" w14:textId="1C11632B" w:rsidR="0012481B" w:rsidRPr="00787315" w:rsidRDefault="0012481B" w:rsidP="00AB3633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7C84" w:rsidRPr="00787315" w14:paraId="68B73071" w14:textId="77777777" w:rsidTr="00124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93D62C" w14:textId="61B938A4" w:rsidR="000D7C84" w:rsidRPr="00787315" w:rsidRDefault="0044743C" w:rsidP="008E4A7E">
            <w:r>
              <w:t>Date, time and d</w:t>
            </w:r>
            <w:r w:rsidR="005F103F">
              <w:t>uration</w:t>
            </w:r>
          </w:p>
        </w:tc>
        <w:tc>
          <w:tcPr>
            <w:tcW w:w="67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28C3AC3" w14:textId="4E04F301" w:rsidR="000D7C84" w:rsidRDefault="008E7E19" w:rsidP="003A3B7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This webinar is </w:t>
            </w:r>
            <w:r w:rsidR="00CB5D42">
              <w:t>scheduled on Tuesday 25 February 2025</w:t>
            </w:r>
            <w:r w:rsidR="00A432E0">
              <w:t xml:space="preserve">, at </w:t>
            </w:r>
            <w:r w:rsidR="001D2786">
              <w:t>11:00 CET (</w:t>
            </w:r>
            <w:r w:rsidR="00291D4E">
              <w:t>10:00 UTC), with m</w:t>
            </w:r>
            <w:r w:rsidR="00820C11">
              <w:t>aximum</w:t>
            </w:r>
            <w:r w:rsidR="005F103F">
              <w:t xml:space="preserve"> duration </w:t>
            </w:r>
            <w:r w:rsidR="00291D4E">
              <w:t xml:space="preserve">of </w:t>
            </w:r>
            <w:r w:rsidR="005F103F">
              <w:t>75 minutes</w:t>
            </w:r>
          </w:p>
        </w:tc>
      </w:tr>
      <w:tr w:rsidR="00AC658C" w:rsidRPr="00787315" w14:paraId="380C1D9F" w14:textId="77777777" w:rsidTr="00124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FDC75C" w14:textId="77777777" w:rsidR="00AC658C" w:rsidRPr="00787315" w:rsidRDefault="00AC658C" w:rsidP="008E4A7E">
            <w:r w:rsidRPr="00787315">
              <w:t>Expected learning outcomes</w:t>
            </w:r>
          </w:p>
        </w:tc>
        <w:tc>
          <w:tcPr>
            <w:tcW w:w="6755" w:type="dxa"/>
          </w:tcPr>
          <w:p w14:paraId="658E666F" w14:textId="4E587B4F" w:rsidR="00F74B32" w:rsidRDefault="00C453A8" w:rsidP="003A3B7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="0036770F" w:rsidRPr="0036770F">
              <w:t>Be able to summarize the</w:t>
            </w:r>
            <w:r w:rsidR="00FB295D">
              <w:t xml:space="preserve"> scope and the</w:t>
            </w:r>
            <w:r w:rsidR="0036770F" w:rsidRPr="0036770F">
              <w:t xml:space="preserve"> update</w:t>
            </w:r>
            <w:r w:rsidR="00FB295D">
              <w:t>s of the</w:t>
            </w:r>
            <w:r w:rsidR="0036770F" w:rsidRPr="0036770F">
              <w:t xml:space="preserve"> Technical Guidelines for RWCs on the WDQMS (WMO-No. 1224)</w:t>
            </w:r>
          </w:p>
          <w:p w14:paraId="46232394" w14:textId="37CD7526" w:rsidR="00144D39" w:rsidRDefault="007D6B21" w:rsidP="003A3B7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C453A8" w:rsidRPr="00787315">
              <w:t xml:space="preserve"> </w:t>
            </w:r>
            <w:r w:rsidR="00034290">
              <w:t>U</w:t>
            </w:r>
            <w:r w:rsidR="00C453A8" w:rsidRPr="00787315">
              <w:t xml:space="preserve">nderstand </w:t>
            </w:r>
            <w:r w:rsidR="0025091C">
              <w:t xml:space="preserve">the new/changed guidelines, particularly those </w:t>
            </w:r>
            <w:r w:rsidR="000205EB" w:rsidRPr="000205EB">
              <w:t xml:space="preserve">related to monitoring and </w:t>
            </w:r>
            <w:r w:rsidR="00B95CFD">
              <w:t xml:space="preserve">managing </w:t>
            </w:r>
            <w:r w:rsidR="0096684B">
              <w:t xml:space="preserve">data and </w:t>
            </w:r>
            <w:r w:rsidR="0025091C">
              <w:t xml:space="preserve">metadata </w:t>
            </w:r>
            <w:r w:rsidR="00B2221F">
              <w:t xml:space="preserve">issues </w:t>
            </w:r>
            <w:r w:rsidR="00B90E37">
              <w:t xml:space="preserve">at </w:t>
            </w:r>
            <w:r w:rsidR="00B90E37" w:rsidRPr="000205EB">
              <w:t>GBON stations</w:t>
            </w:r>
            <w:r w:rsidR="00B90E37">
              <w:t>,</w:t>
            </w:r>
            <w:r w:rsidR="00B90E37" w:rsidRPr="000205EB">
              <w:t xml:space="preserve"> </w:t>
            </w:r>
            <w:r w:rsidR="007C5895">
              <w:t xml:space="preserve">using </w:t>
            </w:r>
            <w:r w:rsidR="00144D39">
              <w:t>the Incident Management System</w:t>
            </w:r>
          </w:p>
          <w:p w14:paraId="44E23E03" w14:textId="77777777" w:rsidR="00DD0E89" w:rsidRDefault="00144D39" w:rsidP="004D2C8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25091C">
              <w:t xml:space="preserve"> </w:t>
            </w:r>
            <w:r w:rsidR="00F029FE">
              <w:t xml:space="preserve">Know </w:t>
            </w:r>
            <w:r w:rsidR="00C453A8" w:rsidRPr="00787315">
              <w:t>the</w:t>
            </w:r>
            <w:r w:rsidR="00070EA5">
              <w:t xml:space="preserve"> roles and</w:t>
            </w:r>
            <w:r w:rsidR="007A5523">
              <w:t xml:space="preserve"> </w:t>
            </w:r>
            <w:r w:rsidR="00C453A8" w:rsidRPr="00787315">
              <w:t xml:space="preserve">responsibilities </w:t>
            </w:r>
            <w:r w:rsidR="004D2C84">
              <w:t xml:space="preserve">of both RWCs and NFPs when </w:t>
            </w:r>
            <w:r w:rsidR="00C453A8">
              <w:t xml:space="preserve">performing </w:t>
            </w:r>
            <w:r w:rsidR="00C453A8" w:rsidRPr="00787315">
              <w:t xml:space="preserve">RWC functions </w:t>
            </w:r>
          </w:p>
          <w:p w14:paraId="71FDFE27" w14:textId="7834CA23" w:rsidR="0012481B" w:rsidRPr="008E7E19" w:rsidRDefault="0012481B" w:rsidP="004D2C8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58C" w:rsidRPr="00787315" w14:paraId="5560907C" w14:textId="77777777" w:rsidTr="00124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D9358D" w14:textId="77777777" w:rsidR="00AC658C" w:rsidRPr="00787315" w:rsidRDefault="00AC658C" w:rsidP="008E4A7E">
            <w:r w:rsidRPr="00787315">
              <w:t>Audience(s)</w:t>
            </w:r>
          </w:p>
        </w:tc>
        <w:tc>
          <w:tcPr>
            <w:tcW w:w="67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28D17B8" w14:textId="4545FB9E" w:rsidR="00E44E42" w:rsidRDefault="00E44E42" w:rsidP="00E44E4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7315">
              <w:t>-</w:t>
            </w:r>
            <w:r>
              <w:t xml:space="preserve"> RWCs staff and managers</w:t>
            </w:r>
            <w:r w:rsidR="003720B2">
              <w:t xml:space="preserve"> (primary </w:t>
            </w:r>
            <w:r w:rsidR="00C5740D">
              <w:t xml:space="preserve">target </w:t>
            </w:r>
            <w:r w:rsidR="003720B2">
              <w:t>audience)</w:t>
            </w:r>
            <w:r>
              <w:t>,</w:t>
            </w:r>
          </w:p>
          <w:p w14:paraId="2FBC5352" w14:textId="404AD75A" w:rsidR="00AC658C" w:rsidRDefault="00AC658C" w:rsidP="003A3B7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7315">
              <w:t>-</w:t>
            </w:r>
            <w:r w:rsidR="00760A34">
              <w:t xml:space="preserve"> </w:t>
            </w:r>
            <w:r w:rsidR="00A24076">
              <w:t xml:space="preserve">NFPs on </w:t>
            </w:r>
            <w:r w:rsidRPr="00787315">
              <w:t>WDQMS</w:t>
            </w:r>
            <w:r w:rsidR="00297F17">
              <w:t xml:space="preserve"> (primary </w:t>
            </w:r>
            <w:r w:rsidR="00C5740D">
              <w:t xml:space="preserve">target </w:t>
            </w:r>
            <w:r w:rsidR="00297F17">
              <w:t>audience)</w:t>
            </w:r>
            <w:r w:rsidRPr="00787315">
              <w:t>,</w:t>
            </w:r>
          </w:p>
          <w:p w14:paraId="13EED988" w14:textId="77777777" w:rsidR="00DD0E89" w:rsidRDefault="000F04B9" w:rsidP="000F04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</w:t>
            </w:r>
            <w:r w:rsidRPr="000F04B9">
              <w:t xml:space="preserve">Other </w:t>
            </w:r>
            <w:r w:rsidR="0085317C">
              <w:t xml:space="preserve">NFPs </w:t>
            </w:r>
            <w:r w:rsidRPr="000F04B9">
              <w:t xml:space="preserve">such as NFPs for WIGOS and NFPs for OSCAR/Surface </w:t>
            </w:r>
            <w:r w:rsidR="00C5740D">
              <w:t>(</w:t>
            </w:r>
            <w:r w:rsidR="003720B2">
              <w:t>secondary target audience</w:t>
            </w:r>
            <w:r w:rsidR="00C5740D">
              <w:t>)</w:t>
            </w:r>
          </w:p>
          <w:p w14:paraId="26924B54" w14:textId="47D74D5D" w:rsidR="0012481B" w:rsidRPr="008E7E19" w:rsidRDefault="0012481B" w:rsidP="000F04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58C" w:rsidRPr="00787315" w14:paraId="3E241563" w14:textId="77777777" w:rsidTr="00124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93BD03" w14:textId="77777777" w:rsidR="00AC658C" w:rsidRPr="00787315" w:rsidRDefault="00AC658C" w:rsidP="008E4A7E">
            <w:r w:rsidRPr="00787315">
              <w:t>Topics outline</w:t>
            </w:r>
          </w:p>
        </w:tc>
        <w:tc>
          <w:tcPr>
            <w:tcW w:w="6755" w:type="dxa"/>
          </w:tcPr>
          <w:p w14:paraId="62C6FF5E" w14:textId="056E1C9E" w:rsidR="00AC658C" w:rsidRPr="00787315" w:rsidRDefault="00AC658C" w:rsidP="003A3B7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7315">
              <w:t>1.</w:t>
            </w:r>
            <w:r w:rsidR="00030378">
              <w:t xml:space="preserve"> </w:t>
            </w:r>
            <w:r w:rsidR="00D262C5">
              <w:t>Short i</w:t>
            </w:r>
            <w:r w:rsidRPr="00787315">
              <w:t xml:space="preserve">ntroduction to </w:t>
            </w:r>
            <w:r w:rsidR="00E91515">
              <w:t>WMO Regulatory and Guidance material a</w:t>
            </w:r>
            <w:r w:rsidR="00AB600A">
              <w:t>s context and scope for Technical Guidelines</w:t>
            </w:r>
            <w:r w:rsidR="00E91515">
              <w:t xml:space="preserve"> </w:t>
            </w:r>
            <w:r w:rsidR="008B03D5">
              <w:t>WMO-</w:t>
            </w:r>
            <w:r w:rsidR="00D262C5">
              <w:t>No. 1224</w:t>
            </w:r>
          </w:p>
          <w:p w14:paraId="073FACEB" w14:textId="17A13EAC" w:rsidR="00AC658C" w:rsidRPr="00787315" w:rsidRDefault="00AC658C" w:rsidP="003A3B7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7315">
              <w:t xml:space="preserve">2. </w:t>
            </w:r>
            <w:r w:rsidR="00883B8E">
              <w:t>Gene</w:t>
            </w:r>
            <w:r w:rsidR="00E3256A">
              <w:t>ric r</w:t>
            </w:r>
            <w:r w:rsidR="00D262C5">
              <w:t xml:space="preserve">eview </w:t>
            </w:r>
            <w:r w:rsidRPr="00787315">
              <w:t>o</w:t>
            </w:r>
            <w:r w:rsidR="00D262C5">
              <w:t>f</w:t>
            </w:r>
            <w:r w:rsidRPr="00787315">
              <w:t xml:space="preserve"> </w:t>
            </w:r>
            <w:r w:rsidR="00D262C5">
              <w:t>main updates/changes to WMO-No. 1224</w:t>
            </w:r>
            <w:r w:rsidR="00E242F8">
              <w:t xml:space="preserve">, 2018 edition compared to </w:t>
            </w:r>
            <w:r w:rsidR="00AF18E5">
              <w:t>2024 edition</w:t>
            </w:r>
          </w:p>
          <w:p w14:paraId="3EA1ACEA" w14:textId="5BA3C006" w:rsidR="00AC658C" w:rsidRPr="00787315" w:rsidRDefault="00AC658C" w:rsidP="003A3B7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7315">
              <w:t xml:space="preserve">3. </w:t>
            </w:r>
            <w:r w:rsidR="00883B8E">
              <w:t>Review of updates/changes related to</w:t>
            </w:r>
            <w:r w:rsidR="00990AFB">
              <w:t xml:space="preserve"> daily tasks</w:t>
            </w:r>
          </w:p>
          <w:p w14:paraId="7BEB401B" w14:textId="7B66E72A" w:rsidR="00787315" w:rsidRDefault="00AC658C" w:rsidP="003A3B7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7315">
              <w:t xml:space="preserve">4. </w:t>
            </w:r>
            <w:r w:rsidR="00E3256A">
              <w:t xml:space="preserve">Review of updates/changes related to </w:t>
            </w:r>
            <w:r w:rsidR="0012481B">
              <w:t>monthly tasks</w:t>
            </w:r>
          </w:p>
          <w:p w14:paraId="1D31DCB1" w14:textId="43993310" w:rsidR="00AC658C" w:rsidRPr="00787315" w:rsidRDefault="00787315" w:rsidP="003A3B7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5. </w:t>
            </w:r>
            <w:r w:rsidR="007333A9">
              <w:t xml:space="preserve">Discussion </w:t>
            </w:r>
            <w:r w:rsidR="005B7FDA">
              <w:t>on topics 2</w:t>
            </w:r>
            <w:r w:rsidR="00D45970">
              <w:t>, 3</w:t>
            </w:r>
            <w:r w:rsidR="005B7FDA">
              <w:t xml:space="preserve"> and </w:t>
            </w:r>
            <w:r w:rsidR="00D45970">
              <w:t>4</w:t>
            </w:r>
          </w:p>
          <w:p w14:paraId="6E418D4F" w14:textId="6ED077A0" w:rsidR="00787315" w:rsidRDefault="005B7FDA" w:rsidP="003A3B7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  <w:r w:rsidR="00AC658C" w:rsidRPr="00787315">
              <w:t xml:space="preserve">. </w:t>
            </w:r>
            <w:r w:rsidR="00787315" w:rsidRPr="00787315">
              <w:t xml:space="preserve">Summary and workshop conclusions </w:t>
            </w:r>
          </w:p>
          <w:p w14:paraId="4494D4E4" w14:textId="77777777" w:rsidR="00DD0E89" w:rsidRDefault="005B7FDA" w:rsidP="003A3B7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 w:rsidR="00787315">
              <w:t xml:space="preserve">. </w:t>
            </w:r>
            <w:r w:rsidR="00787315" w:rsidRPr="00787315">
              <w:t xml:space="preserve">Evaluation of the </w:t>
            </w:r>
            <w:r>
              <w:t>webinar</w:t>
            </w:r>
          </w:p>
          <w:p w14:paraId="4FC470B1" w14:textId="139E84B2" w:rsidR="0012481B" w:rsidRPr="008E7E19" w:rsidRDefault="0012481B" w:rsidP="003A3B7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58C" w:rsidRPr="00787315" w14:paraId="24BEDBEC" w14:textId="77777777" w:rsidTr="00124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553DB3" w14:textId="77777777" w:rsidR="00AC658C" w:rsidRPr="00787315" w:rsidRDefault="00AC658C" w:rsidP="008E4A7E">
            <w:r w:rsidRPr="00787315">
              <w:lastRenderedPageBreak/>
              <w:t>Course format</w:t>
            </w:r>
          </w:p>
        </w:tc>
        <w:tc>
          <w:tcPr>
            <w:tcW w:w="67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41C7F2C" w14:textId="1F2E998A" w:rsidR="001E5083" w:rsidRDefault="00787315" w:rsidP="003A3B7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7315">
              <w:t xml:space="preserve">The </w:t>
            </w:r>
            <w:r w:rsidR="005F2300">
              <w:t xml:space="preserve">course </w:t>
            </w:r>
            <w:r w:rsidR="009D0396">
              <w:t>is</w:t>
            </w:r>
            <w:r w:rsidRPr="00787315">
              <w:t xml:space="preserve"> organized as a </w:t>
            </w:r>
            <w:r w:rsidR="005F2300">
              <w:t xml:space="preserve">webinar, with presentations and discussion between the presenters and the </w:t>
            </w:r>
            <w:r w:rsidR="00DE09A7">
              <w:t>audience.</w:t>
            </w:r>
          </w:p>
          <w:p w14:paraId="5B2E79EC" w14:textId="78B89FD7" w:rsidR="00DD0E89" w:rsidRDefault="00787315" w:rsidP="003A3B7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7315">
              <w:t xml:space="preserve">The </w:t>
            </w:r>
            <w:r w:rsidR="00754A2C">
              <w:t>webinar will be delivered in English,</w:t>
            </w:r>
            <w:r w:rsidRPr="00787315">
              <w:t xml:space="preserve"> </w:t>
            </w:r>
            <w:r w:rsidR="004C49A1">
              <w:t xml:space="preserve">with simultaneous </w:t>
            </w:r>
            <w:r w:rsidR="00E7231E">
              <w:t xml:space="preserve">automatic/machine </w:t>
            </w:r>
            <w:r w:rsidRPr="00787315">
              <w:t>in</w:t>
            </w:r>
            <w:r w:rsidR="004C49A1">
              <w:t>terpretation</w:t>
            </w:r>
            <w:r w:rsidRPr="00787315">
              <w:t xml:space="preserve"> </w:t>
            </w:r>
            <w:r w:rsidR="007276AE">
              <w:t xml:space="preserve">in </w:t>
            </w:r>
            <w:r w:rsidR="004C49A1">
              <w:t>French</w:t>
            </w:r>
            <w:r w:rsidR="007276AE">
              <w:t xml:space="preserve"> and Spanish</w:t>
            </w:r>
            <w:r w:rsidRPr="00787315">
              <w:t>.</w:t>
            </w:r>
            <w:r>
              <w:t xml:space="preserve"> </w:t>
            </w:r>
            <w:r w:rsidR="00AC658C" w:rsidRPr="00787315">
              <w:t xml:space="preserve">Training material will be </w:t>
            </w:r>
            <w:r w:rsidR="000E5841">
              <w:t xml:space="preserve">made </w:t>
            </w:r>
            <w:r w:rsidR="00AC658C" w:rsidRPr="00787315">
              <w:t>available</w:t>
            </w:r>
            <w:r>
              <w:t xml:space="preserve"> </w:t>
            </w:r>
            <w:r w:rsidR="00D1620D">
              <w:t>o</w:t>
            </w:r>
            <w:r>
              <w:t>n the WIGOS Learning Porta</w:t>
            </w:r>
            <w:r w:rsidR="00A854C3">
              <w:t>l</w:t>
            </w:r>
            <w:r>
              <w:t>.</w:t>
            </w:r>
          </w:p>
          <w:p w14:paraId="1E079A80" w14:textId="7EA002E5" w:rsidR="0012481B" w:rsidRPr="0012481B" w:rsidRDefault="0012481B" w:rsidP="003A3B7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58C" w:rsidRPr="00787315" w14:paraId="1E2D4BE8" w14:textId="77777777" w:rsidTr="00124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07A1C9" w14:textId="77777777" w:rsidR="00AC658C" w:rsidRPr="00787315" w:rsidRDefault="00AC658C" w:rsidP="008E4A7E">
            <w:r w:rsidRPr="00787315">
              <w:t>Learning activities</w:t>
            </w:r>
          </w:p>
        </w:tc>
        <w:tc>
          <w:tcPr>
            <w:tcW w:w="6755" w:type="dxa"/>
          </w:tcPr>
          <w:p w14:paraId="2220029F" w14:textId="620F9B83" w:rsidR="00F5056A" w:rsidRDefault="00AC658C" w:rsidP="003A3B7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7315">
              <w:t xml:space="preserve">a) </w:t>
            </w:r>
            <w:r w:rsidR="00F5056A">
              <w:t xml:space="preserve">Participants </w:t>
            </w:r>
            <w:r w:rsidRPr="00787315">
              <w:t xml:space="preserve">will </w:t>
            </w:r>
            <w:r w:rsidR="00556CD9">
              <w:t xml:space="preserve">watch </w:t>
            </w:r>
            <w:r w:rsidR="00A75BE4">
              <w:t>to</w:t>
            </w:r>
            <w:r w:rsidR="00556CD9">
              <w:t xml:space="preserve"> presentations</w:t>
            </w:r>
            <w:r w:rsidR="00A75BE4">
              <w:t xml:space="preserve"> delivered by relevant experts</w:t>
            </w:r>
          </w:p>
          <w:p w14:paraId="3C88CC75" w14:textId="63EBC81C" w:rsidR="00F5056A" w:rsidRDefault="00F5056A" w:rsidP="003A3B7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b) Participants will </w:t>
            </w:r>
            <w:r w:rsidR="00556CD9">
              <w:t xml:space="preserve">be able to </w:t>
            </w:r>
            <w:r w:rsidR="00E3036A">
              <w:t>interact with the presenters to raise questions and comments</w:t>
            </w:r>
          </w:p>
          <w:p w14:paraId="1465FBBE" w14:textId="6BA6A554" w:rsidR="002873C2" w:rsidRDefault="00086097" w:rsidP="002873C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="00AC658C" w:rsidRPr="00787315">
              <w:t xml:space="preserve">) </w:t>
            </w:r>
            <w:r w:rsidR="002873C2">
              <w:t xml:space="preserve">Participants will be able to </w:t>
            </w:r>
            <w:r w:rsidR="00171C99">
              <w:t xml:space="preserve">suggest future updates </w:t>
            </w:r>
            <w:r w:rsidR="0047058C">
              <w:t xml:space="preserve">to the Technical Guidelines as well as </w:t>
            </w:r>
            <w:r w:rsidR="002873C2">
              <w:t xml:space="preserve">to </w:t>
            </w:r>
            <w:r w:rsidR="0047058C">
              <w:t xml:space="preserve">future </w:t>
            </w:r>
            <w:r w:rsidR="00E50583">
              <w:t>related</w:t>
            </w:r>
            <w:r w:rsidR="004C7821">
              <w:t xml:space="preserve"> </w:t>
            </w:r>
            <w:r w:rsidR="0047058C">
              <w:t>training events and materials</w:t>
            </w:r>
          </w:p>
          <w:p w14:paraId="0DF57F9C" w14:textId="77777777" w:rsidR="00AC658C" w:rsidRPr="00787315" w:rsidRDefault="00AC658C" w:rsidP="004C78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090747" w:rsidRPr="00090747" w14:paraId="4578F500" w14:textId="77777777" w:rsidTr="00124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0C3C30" w14:textId="77777777" w:rsidR="00090747" w:rsidRPr="00090747" w:rsidRDefault="00090747" w:rsidP="00090747">
            <w:pPr>
              <w:spacing w:after="0" w:line="240" w:lineRule="auto"/>
              <w:rPr>
                <w:rFonts w:eastAsia="SimSun" w:cs="Times New Roman"/>
                <w:color w:val="000000"/>
              </w:rPr>
            </w:pPr>
            <w:r w:rsidRPr="00090747">
              <w:rPr>
                <w:rFonts w:eastAsia="SimSun" w:cs="Times New Roman"/>
                <w:color w:val="000000"/>
              </w:rPr>
              <w:t>Learning assessment</w:t>
            </w:r>
          </w:p>
        </w:tc>
        <w:tc>
          <w:tcPr>
            <w:tcW w:w="67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0323FB" w14:textId="77777777" w:rsidR="00294A17" w:rsidRDefault="0041545C" w:rsidP="000907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</w:rPr>
            </w:pPr>
            <w:r>
              <w:rPr>
                <w:rFonts w:eastAsia="SimSun" w:cs="Times New Roman"/>
                <w:color w:val="000000"/>
              </w:rPr>
              <w:t xml:space="preserve">Follow-up </w:t>
            </w:r>
            <w:r w:rsidR="00090747" w:rsidRPr="00090747">
              <w:rPr>
                <w:rFonts w:eastAsia="SimSun" w:cs="Times New Roman"/>
                <w:color w:val="000000"/>
              </w:rPr>
              <w:t xml:space="preserve">training </w:t>
            </w:r>
            <w:r w:rsidR="000759F1">
              <w:rPr>
                <w:rFonts w:eastAsia="SimSun" w:cs="Times New Roman"/>
                <w:color w:val="000000"/>
              </w:rPr>
              <w:t xml:space="preserve">activities will be considered to </w:t>
            </w:r>
            <w:r w:rsidR="00090747" w:rsidRPr="00090747">
              <w:rPr>
                <w:rFonts w:eastAsia="SimSun" w:cs="Times New Roman"/>
                <w:color w:val="000000"/>
              </w:rPr>
              <w:t xml:space="preserve">assess the </w:t>
            </w:r>
            <w:r w:rsidR="00C541AE">
              <w:rPr>
                <w:rFonts w:eastAsia="SimSun" w:cs="Times New Roman"/>
                <w:color w:val="000000"/>
              </w:rPr>
              <w:t xml:space="preserve">participants learning and </w:t>
            </w:r>
            <w:r w:rsidR="000759F1">
              <w:rPr>
                <w:rFonts w:eastAsia="SimSun" w:cs="Times New Roman"/>
                <w:color w:val="000000"/>
              </w:rPr>
              <w:t xml:space="preserve">impact </w:t>
            </w:r>
            <w:r w:rsidR="00C541AE">
              <w:rPr>
                <w:rFonts w:eastAsia="SimSun" w:cs="Times New Roman"/>
                <w:color w:val="000000"/>
              </w:rPr>
              <w:t xml:space="preserve">on their professional </w:t>
            </w:r>
            <w:r w:rsidR="00C001D8">
              <w:rPr>
                <w:rFonts w:eastAsia="SimSun" w:cs="Times New Roman"/>
                <w:color w:val="000000"/>
              </w:rPr>
              <w:t>activities</w:t>
            </w:r>
            <w:r w:rsidR="00090747" w:rsidRPr="00090747">
              <w:rPr>
                <w:rFonts w:eastAsia="SimSun" w:cs="Times New Roman"/>
                <w:color w:val="000000"/>
              </w:rPr>
              <w:t>.</w:t>
            </w:r>
          </w:p>
          <w:p w14:paraId="1BE283F7" w14:textId="5418C82B" w:rsidR="002B554C" w:rsidRPr="00090747" w:rsidRDefault="002B554C" w:rsidP="002B55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</w:rPr>
            </w:pPr>
            <w:r>
              <w:rPr>
                <w:rFonts w:eastAsia="SimSun" w:cs="Times New Roman"/>
                <w:color w:val="000000"/>
              </w:rPr>
              <w:t>At the end of</w:t>
            </w:r>
            <w:r w:rsidRPr="00090747">
              <w:rPr>
                <w:rFonts w:eastAsia="SimSun" w:cs="Times New Roman"/>
                <w:color w:val="000000"/>
              </w:rPr>
              <w:t xml:space="preserve"> the </w:t>
            </w:r>
            <w:r>
              <w:rPr>
                <w:rFonts w:eastAsia="SimSun" w:cs="Times New Roman"/>
                <w:color w:val="000000"/>
              </w:rPr>
              <w:t xml:space="preserve">webinar a final quiz will be submitted to the participants </w:t>
            </w:r>
            <w:r w:rsidR="00264853">
              <w:rPr>
                <w:rFonts w:eastAsia="SimSun" w:cs="Times New Roman"/>
                <w:color w:val="000000"/>
              </w:rPr>
              <w:t xml:space="preserve">to assess their </w:t>
            </w:r>
            <w:r w:rsidR="006C1E11">
              <w:rPr>
                <w:rFonts w:eastAsia="SimSun" w:cs="Times New Roman"/>
                <w:color w:val="000000"/>
              </w:rPr>
              <w:t xml:space="preserve">understanding </w:t>
            </w:r>
            <w:r>
              <w:rPr>
                <w:rFonts w:eastAsia="SimSun" w:cs="Times New Roman"/>
                <w:color w:val="000000"/>
              </w:rPr>
              <w:t>o</w:t>
            </w:r>
            <w:r w:rsidR="006C1E11">
              <w:rPr>
                <w:rFonts w:eastAsia="SimSun" w:cs="Times New Roman"/>
                <w:color w:val="000000"/>
              </w:rPr>
              <w:t>f</w:t>
            </w:r>
            <w:r>
              <w:rPr>
                <w:rFonts w:eastAsia="SimSun" w:cs="Times New Roman"/>
                <w:color w:val="000000"/>
              </w:rPr>
              <w:t xml:space="preserve"> the scope and structure of the Technical Guidelines.</w:t>
            </w:r>
          </w:p>
          <w:p w14:paraId="58D7D3C5" w14:textId="55C3EAC4" w:rsidR="00090747" w:rsidRPr="00090747" w:rsidRDefault="00326ECA" w:rsidP="000907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</w:rPr>
            </w:pPr>
            <w:r w:rsidRPr="00090747">
              <w:rPr>
                <w:rFonts w:eastAsia="SimSun" w:cs="Times New Roman"/>
                <w:color w:val="000000"/>
              </w:rPr>
              <w:t xml:space="preserve">An area in the </w:t>
            </w:r>
            <w:r>
              <w:rPr>
                <w:rFonts w:eastAsia="SimSun" w:cs="Times New Roman"/>
                <w:color w:val="000000"/>
              </w:rPr>
              <w:t>WIGOS Learning Portal</w:t>
            </w:r>
            <w:r w:rsidRPr="00090747">
              <w:rPr>
                <w:rFonts w:eastAsia="SimSun" w:cs="Times New Roman"/>
                <w:color w:val="000000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 xml:space="preserve">could </w:t>
            </w:r>
            <w:r w:rsidRPr="00090747">
              <w:rPr>
                <w:rFonts w:eastAsia="SimSun" w:cs="Times New Roman"/>
                <w:color w:val="000000"/>
              </w:rPr>
              <w:t xml:space="preserve">be </w:t>
            </w:r>
            <w:r>
              <w:rPr>
                <w:rFonts w:eastAsia="SimSun" w:cs="Times New Roman"/>
                <w:color w:val="000000"/>
              </w:rPr>
              <w:t xml:space="preserve">created </w:t>
            </w:r>
            <w:r w:rsidRPr="00090747">
              <w:rPr>
                <w:rFonts w:eastAsia="SimSun" w:cs="Times New Roman"/>
                <w:color w:val="000000"/>
              </w:rPr>
              <w:t>for follow-up discussions amongst participants, as well as to access the training material.</w:t>
            </w:r>
          </w:p>
          <w:p w14:paraId="4AA560A2" w14:textId="77777777" w:rsidR="00090747" w:rsidRPr="00090747" w:rsidRDefault="00090747" w:rsidP="008154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</w:rPr>
            </w:pPr>
          </w:p>
        </w:tc>
      </w:tr>
      <w:tr w:rsidR="00090747" w:rsidRPr="00090747" w14:paraId="2C83D170" w14:textId="77777777" w:rsidTr="00124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5BEC26" w14:textId="77777777" w:rsidR="00090747" w:rsidRPr="00090747" w:rsidRDefault="00090747" w:rsidP="00090747">
            <w:pPr>
              <w:spacing w:after="0" w:line="240" w:lineRule="auto"/>
              <w:rPr>
                <w:rFonts w:eastAsia="SimSun" w:cs="Times New Roman"/>
                <w:color w:val="000000"/>
              </w:rPr>
            </w:pPr>
            <w:r w:rsidRPr="00090747">
              <w:rPr>
                <w:rFonts w:eastAsia="SimSun" w:cs="Times New Roman"/>
                <w:color w:val="000000"/>
              </w:rPr>
              <w:t>Course evaluation</w:t>
            </w:r>
          </w:p>
        </w:tc>
        <w:tc>
          <w:tcPr>
            <w:tcW w:w="6755" w:type="dxa"/>
          </w:tcPr>
          <w:p w14:paraId="7D7F3DE6" w14:textId="64198209" w:rsidR="00090747" w:rsidRPr="00090747" w:rsidRDefault="00747050" w:rsidP="000907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</w:rPr>
            </w:pPr>
            <w:r>
              <w:rPr>
                <w:rFonts w:eastAsia="SimSun" w:cs="Times New Roman"/>
                <w:color w:val="000000"/>
              </w:rPr>
              <w:t xml:space="preserve">An online survey will be </w:t>
            </w:r>
            <w:r w:rsidR="00161B0D">
              <w:rPr>
                <w:rFonts w:eastAsia="SimSun" w:cs="Times New Roman"/>
                <w:color w:val="000000"/>
              </w:rPr>
              <w:t xml:space="preserve">made available at the end of </w:t>
            </w:r>
            <w:r w:rsidR="009D525D">
              <w:rPr>
                <w:rFonts w:eastAsia="SimSun" w:cs="Times New Roman"/>
                <w:color w:val="000000"/>
              </w:rPr>
              <w:t xml:space="preserve">the webinar </w:t>
            </w:r>
            <w:r>
              <w:rPr>
                <w:rFonts w:eastAsia="SimSun" w:cs="Times New Roman"/>
                <w:color w:val="000000"/>
              </w:rPr>
              <w:t xml:space="preserve">to </w:t>
            </w:r>
            <w:r w:rsidR="00326ECA">
              <w:rPr>
                <w:rFonts w:eastAsia="SimSun" w:cs="Times New Roman"/>
                <w:color w:val="000000"/>
              </w:rPr>
              <w:t xml:space="preserve">collect </w:t>
            </w:r>
            <w:r>
              <w:rPr>
                <w:rFonts w:eastAsia="SimSun" w:cs="Times New Roman"/>
                <w:color w:val="000000"/>
              </w:rPr>
              <w:t xml:space="preserve">feedback from the participants </w:t>
            </w:r>
            <w:r w:rsidR="009D525D">
              <w:rPr>
                <w:rFonts w:eastAsia="SimSun" w:cs="Times New Roman"/>
                <w:color w:val="000000"/>
              </w:rPr>
              <w:t>on the course evaluation</w:t>
            </w:r>
          </w:p>
          <w:p w14:paraId="55E0CF76" w14:textId="77777777" w:rsidR="00090747" w:rsidRPr="00090747" w:rsidRDefault="00090747" w:rsidP="00326EC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</w:rPr>
            </w:pPr>
          </w:p>
        </w:tc>
      </w:tr>
      <w:tr w:rsidR="00090747" w:rsidRPr="00090747" w14:paraId="666915EC" w14:textId="77777777" w:rsidTr="00124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067AEC" w14:textId="77777777" w:rsidR="00090747" w:rsidRPr="00090747" w:rsidRDefault="00090747" w:rsidP="00090747">
            <w:pPr>
              <w:spacing w:after="0" w:line="240" w:lineRule="auto"/>
              <w:rPr>
                <w:rFonts w:eastAsia="SimSun" w:cs="Times New Roman"/>
                <w:color w:val="000000"/>
              </w:rPr>
            </w:pPr>
            <w:r w:rsidRPr="00090747">
              <w:rPr>
                <w:rFonts w:eastAsia="SimSun" w:cs="Times New Roman"/>
                <w:color w:val="000000"/>
              </w:rPr>
              <w:t>Learning resources</w:t>
            </w:r>
          </w:p>
        </w:tc>
        <w:tc>
          <w:tcPr>
            <w:tcW w:w="67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59DC37" w14:textId="0882BB46" w:rsidR="00052EE8" w:rsidRDefault="00A854C3" w:rsidP="000907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</w:rPr>
            </w:pPr>
            <w:hyperlink r:id="rId6" w:history="1">
              <w:r w:rsidR="00052EE8" w:rsidRPr="003309B9">
                <w:rPr>
                  <w:rStyle w:val="Hyperlink"/>
                  <w:rFonts w:eastAsia="SimSun" w:cs="Times New Roman"/>
                </w:rPr>
                <w:t>WIGOS Learning Portal</w:t>
              </w:r>
            </w:hyperlink>
          </w:p>
          <w:p w14:paraId="43BA597A" w14:textId="07264329" w:rsidR="00090747" w:rsidRPr="00090747" w:rsidRDefault="00A854C3" w:rsidP="000907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</w:rPr>
            </w:pPr>
            <w:hyperlink r:id="rId7" w:anchor="page=1&amp;viewer=picture&amp;o=bookmark&amp;n=0&amp;q=" w:history="1">
              <w:r w:rsidR="00090747" w:rsidRPr="00090747">
                <w:rPr>
                  <w:rStyle w:val="Hyperlink"/>
                  <w:rFonts w:eastAsia="SimSun" w:cs="Times New Roman"/>
                </w:rPr>
                <w:t>The Manual on WIGOS</w:t>
              </w:r>
            </w:hyperlink>
          </w:p>
          <w:p w14:paraId="3BBE19B7" w14:textId="61EB3B5B" w:rsidR="00090747" w:rsidRDefault="00A854C3" w:rsidP="000907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eastAsia="SimSun" w:cs="Times New Roman"/>
              </w:rPr>
            </w:pPr>
            <w:hyperlink r:id="rId8" w:anchor="page=1&amp;viewer=picture&amp;o=bookmark&amp;n=0&amp;q=" w:history="1">
              <w:r w:rsidR="00090747" w:rsidRPr="00090747">
                <w:rPr>
                  <w:rStyle w:val="Hyperlink"/>
                  <w:rFonts w:eastAsia="SimSun" w:cs="Times New Roman"/>
                </w:rPr>
                <w:t>The Guide to WIGOS</w:t>
              </w:r>
            </w:hyperlink>
          </w:p>
          <w:p w14:paraId="6D9698C2" w14:textId="6EB5E29D" w:rsidR="0087234F" w:rsidRPr="00090747" w:rsidRDefault="0087234F" w:rsidP="000907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</w:rPr>
            </w:pPr>
            <w:r>
              <w:rPr>
                <w:rStyle w:val="Hyperlink"/>
              </w:rPr>
              <w:t xml:space="preserve">Technical Guidelines </w:t>
            </w:r>
            <w:r w:rsidR="00963163">
              <w:rPr>
                <w:rStyle w:val="Hyperlink"/>
              </w:rPr>
              <w:t>for RWCs on WDQMS</w:t>
            </w:r>
          </w:p>
          <w:p w14:paraId="596DDAA0" w14:textId="77777777" w:rsidR="00090747" w:rsidRPr="00090747" w:rsidRDefault="00090747" w:rsidP="00CB387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</w:rPr>
            </w:pPr>
          </w:p>
        </w:tc>
      </w:tr>
      <w:tr w:rsidR="00090747" w:rsidRPr="00090747" w14:paraId="63ABBFF2" w14:textId="77777777" w:rsidTr="00124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7AEADB" w14:textId="77777777" w:rsidR="00090747" w:rsidRPr="00090747" w:rsidRDefault="00090747" w:rsidP="00090747">
            <w:pPr>
              <w:spacing w:after="0" w:line="240" w:lineRule="auto"/>
              <w:rPr>
                <w:rFonts w:eastAsia="SimSun" w:cs="Times New Roman"/>
                <w:color w:val="000000"/>
              </w:rPr>
            </w:pPr>
            <w:r w:rsidRPr="00090747">
              <w:rPr>
                <w:rFonts w:eastAsia="SimSun" w:cs="Times New Roman"/>
                <w:color w:val="000000"/>
              </w:rPr>
              <w:t>Certificate</w:t>
            </w:r>
          </w:p>
        </w:tc>
        <w:tc>
          <w:tcPr>
            <w:tcW w:w="6755" w:type="dxa"/>
          </w:tcPr>
          <w:p w14:paraId="4E90B185" w14:textId="0844297B" w:rsidR="00090747" w:rsidRPr="009A5130" w:rsidRDefault="00161B0D" w:rsidP="000907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</w:rPr>
            </w:pPr>
            <w:r>
              <w:rPr>
                <w:rFonts w:eastAsia="SimSun" w:cs="Times New Roman"/>
                <w:color w:val="000000"/>
              </w:rPr>
              <w:t>N/A</w:t>
            </w:r>
          </w:p>
          <w:p w14:paraId="1FF70C9E" w14:textId="77777777" w:rsidR="00090747" w:rsidRPr="009A5130" w:rsidRDefault="00090747" w:rsidP="000907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</w:rPr>
            </w:pPr>
          </w:p>
        </w:tc>
      </w:tr>
    </w:tbl>
    <w:p w14:paraId="12F97C27" w14:textId="77777777" w:rsidR="00090747" w:rsidRDefault="00090747"/>
    <w:p w14:paraId="4ECF65A2" w14:textId="77777777" w:rsidR="00090747" w:rsidRPr="00787315" w:rsidRDefault="00090747"/>
    <w:sectPr w:rsidR="00090747" w:rsidRPr="0078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116D6"/>
    <w:multiLevelType w:val="hybridMultilevel"/>
    <w:tmpl w:val="8B0A9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D2307"/>
    <w:multiLevelType w:val="hybridMultilevel"/>
    <w:tmpl w:val="4F2EF54E"/>
    <w:lvl w:ilvl="0" w:tplc="947E5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446EE"/>
    <w:multiLevelType w:val="hybridMultilevel"/>
    <w:tmpl w:val="56DA5C6C"/>
    <w:lvl w:ilvl="0" w:tplc="59F812FA">
      <w:numFmt w:val="bullet"/>
      <w:lvlText w:val="•"/>
      <w:lvlJc w:val="left"/>
      <w:pPr>
        <w:ind w:left="1070" w:hanging="710"/>
      </w:pPr>
      <w:rPr>
        <w:rFonts w:ascii="Verdana" w:eastAsiaTheme="minorEastAsia" w:hAnsi="Verdan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623683">
    <w:abstractNumId w:val="0"/>
  </w:num>
  <w:num w:numId="2" w16cid:durableId="842476417">
    <w:abstractNumId w:val="2"/>
  </w:num>
  <w:num w:numId="3" w16cid:durableId="1334794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8C"/>
    <w:rsid w:val="00000A70"/>
    <w:rsid w:val="00006EDC"/>
    <w:rsid w:val="000205EB"/>
    <w:rsid w:val="00030378"/>
    <w:rsid w:val="00034290"/>
    <w:rsid w:val="00052EE8"/>
    <w:rsid w:val="00070137"/>
    <w:rsid w:val="00070EA5"/>
    <w:rsid w:val="000759F1"/>
    <w:rsid w:val="0008249E"/>
    <w:rsid w:val="00086097"/>
    <w:rsid w:val="00090747"/>
    <w:rsid w:val="0009743A"/>
    <w:rsid w:val="000A0C28"/>
    <w:rsid w:val="000D2ED7"/>
    <w:rsid w:val="000D330E"/>
    <w:rsid w:val="000D7C84"/>
    <w:rsid w:val="000E5841"/>
    <w:rsid w:val="000F04B9"/>
    <w:rsid w:val="000F63A0"/>
    <w:rsid w:val="0012481B"/>
    <w:rsid w:val="00144D39"/>
    <w:rsid w:val="00161B0D"/>
    <w:rsid w:val="00171C99"/>
    <w:rsid w:val="001D2786"/>
    <w:rsid w:val="001E5083"/>
    <w:rsid w:val="002224AF"/>
    <w:rsid w:val="0025091C"/>
    <w:rsid w:val="00264853"/>
    <w:rsid w:val="00285AB4"/>
    <w:rsid w:val="002873C2"/>
    <w:rsid w:val="00291D4E"/>
    <w:rsid w:val="002942E6"/>
    <w:rsid w:val="00294A17"/>
    <w:rsid w:val="00297F17"/>
    <w:rsid w:val="002A5CB1"/>
    <w:rsid w:val="002B10AD"/>
    <w:rsid w:val="002B554C"/>
    <w:rsid w:val="002C3050"/>
    <w:rsid w:val="002F2021"/>
    <w:rsid w:val="003060D8"/>
    <w:rsid w:val="00326ECA"/>
    <w:rsid w:val="003309B9"/>
    <w:rsid w:val="00332C5C"/>
    <w:rsid w:val="00347CD1"/>
    <w:rsid w:val="00360CBC"/>
    <w:rsid w:val="00363202"/>
    <w:rsid w:val="00365486"/>
    <w:rsid w:val="0036770F"/>
    <w:rsid w:val="003720B2"/>
    <w:rsid w:val="0037759B"/>
    <w:rsid w:val="003831EC"/>
    <w:rsid w:val="0038444C"/>
    <w:rsid w:val="00396560"/>
    <w:rsid w:val="003A3B70"/>
    <w:rsid w:val="003F24CD"/>
    <w:rsid w:val="003F4158"/>
    <w:rsid w:val="0041545C"/>
    <w:rsid w:val="004162FA"/>
    <w:rsid w:val="0044743C"/>
    <w:rsid w:val="00455999"/>
    <w:rsid w:val="00457B8D"/>
    <w:rsid w:val="004621AF"/>
    <w:rsid w:val="0047058C"/>
    <w:rsid w:val="004B759C"/>
    <w:rsid w:val="004B7A7A"/>
    <w:rsid w:val="004C49A1"/>
    <w:rsid w:val="004C7821"/>
    <w:rsid w:val="004D2C84"/>
    <w:rsid w:val="004D6035"/>
    <w:rsid w:val="004D65AA"/>
    <w:rsid w:val="00556CD9"/>
    <w:rsid w:val="005872A0"/>
    <w:rsid w:val="00593C83"/>
    <w:rsid w:val="005B7FDA"/>
    <w:rsid w:val="005F103F"/>
    <w:rsid w:val="005F2300"/>
    <w:rsid w:val="00633D68"/>
    <w:rsid w:val="00671DE7"/>
    <w:rsid w:val="006A01E1"/>
    <w:rsid w:val="006B1FB7"/>
    <w:rsid w:val="006C1E11"/>
    <w:rsid w:val="006C62E6"/>
    <w:rsid w:val="007276AE"/>
    <w:rsid w:val="007333A9"/>
    <w:rsid w:val="00747050"/>
    <w:rsid w:val="00754A2C"/>
    <w:rsid w:val="00760A34"/>
    <w:rsid w:val="00787315"/>
    <w:rsid w:val="007937FA"/>
    <w:rsid w:val="007A5523"/>
    <w:rsid w:val="007B13E0"/>
    <w:rsid w:val="007B52A3"/>
    <w:rsid w:val="007C31CD"/>
    <w:rsid w:val="007C5895"/>
    <w:rsid w:val="007D6B21"/>
    <w:rsid w:val="008023F5"/>
    <w:rsid w:val="00815475"/>
    <w:rsid w:val="00820C11"/>
    <w:rsid w:val="00827F96"/>
    <w:rsid w:val="0085317C"/>
    <w:rsid w:val="0087234F"/>
    <w:rsid w:val="00883B8E"/>
    <w:rsid w:val="008B03D5"/>
    <w:rsid w:val="008C3022"/>
    <w:rsid w:val="008D741C"/>
    <w:rsid w:val="008E7E19"/>
    <w:rsid w:val="008F1BD0"/>
    <w:rsid w:val="009139C1"/>
    <w:rsid w:val="0093499E"/>
    <w:rsid w:val="00963163"/>
    <w:rsid w:val="0096684B"/>
    <w:rsid w:val="00990AFB"/>
    <w:rsid w:val="009A5130"/>
    <w:rsid w:val="009D0396"/>
    <w:rsid w:val="009D525D"/>
    <w:rsid w:val="009F0C76"/>
    <w:rsid w:val="00A24076"/>
    <w:rsid w:val="00A3067F"/>
    <w:rsid w:val="00A377AA"/>
    <w:rsid w:val="00A432E0"/>
    <w:rsid w:val="00A548C4"/>
    <w:rsid w:val="00A75BE4"/>
    <w:rsid w:val="00A766FB"/>
    <w:rsid w:val="00A854C3"/>
    <w:rsid w:val="00AB3633"/>
    <w:rsid w:val="00AB600A"/>
    <w:rsid w:val="00AC658C"/>
    <w:rsid w:val="00AF18E5"/>
    <w:rsid w:val="00B2221F"/>
    <w:rsid w:val="00B4725D"/>
    <w:rsid w:val="00B90E37"/>
    <w:rsid w:val="00B95CFD"/>
    <w:rsid w:val="00B96332"/>
    <w:rsid w:val="00BA63FB"/>
    <w:rsid w:val="00BC7E01"/>
    <w:rsid w:val="00BD1889"/>
    <w:rsid w:val="00C001D8"/>
    <w:rsid w:val="00C23F01"/>
    <w:rsid w:val="00C2445D"/>
    <w:rsid w:val="00C31F88"/>
    <w:rsid w:val="00C453A8"/>
    <w:rsid w:val="00C541AE"/>
    <w:rsid w:val="00C5740D"/>
    <w:rsid w:val="00C6437E"/>
    <w:rsid w:val="00C86170"/>
    <w:rsid w:val="00CB3873"/>
    <w:rsid w:val="00CB5D42"/>
    <w:rsid w:val="00CC22DC"/>
    <w:rsid w:val="00CE59BB"/>
    <w:rsid w:val="00D159A6"/>
    <w:rsid w:val="00D1620D"/>
    <w:rsid w:val="00D262C5"/>
    <w:rsid w:val="00D31B04"/>
    <w:rsid w:val="00D45970"/>
    <w:rsid w:val="00D82B63"/>
    <w:rsid w:val="00DD0E89"/>
    <w:rsid w:val="00DE09A7"/>
    <w:rsid w:val="00DE2953"/>
    <w:rsid w:val="00E013E4"/>
    <w:rsid w:val="00E0399B"/>
    <w:rsid w:val="00E242F8"/>
    <w:rsid w:val="00E3036A"/>
    <w:rsid w:val="00E3256A"/>
    <w:rsid w:val="00E44E42"/>
    <w:rsid w:val="00E47EDC"/>
    <w:rsid w:val="00E50583"/>
    <w:rsid w:val="00E5516F"/>
    <w:rsid w:val="00E7155F"/>
    <w:rsid w:val="00E719F2"/>
    <w:rsid w:val="00E7231E"/>
    <w:rsid w:val="00E91515"/>
    <w:rsid w:val="00EA7CB8"/>
    <w:rsid w:val="00EB1CDE"/>
    <w:rsid w:val="00ED05A2"/>
    <w:rsid w:val="00F029FE"/>
    <w:rsid w:val="00F31C6F"/>
    <w:rsid w:val="00F5056A"/>
    <w:rsid w:val="00F74B32"/>
    <w:rsid w:val="00FB295D"/>
    <w:rsid w:val="00FC4B3D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F7817"/>
  <w15:chartTrackingRefBased/>
  <w15:docId w15:val="{BB206FD7-BE9A-4324-AA44-7E28318C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58C"/>
    <w:pPr>
      <w:spacing w:after="200" w:line="276" w:lineRule="auto"/>
    </w:pPr>
    <w:rPr>
      <w:rFonts w:ascii="Verdana" w:eastAsiaTheme="minorEastAsia" w:hAnsi="Verdana"/>
      <w:sz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AC65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zh-CN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C65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09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9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E59BB"/>
    <w:pPr>
      <w:spacing w:after="0" w:line="240" w:lineRule="auto"/>
    </w:pPr>
    <w:rPr>
      <w:rFonts w:ascii="Verdana" w:eastAsiaTheme="minorEastAsia" w:hAnsi="Verdana"/>
      <w:sz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wmo.int/viewer/55696?medianame=1165-2017-2018_en_" TargetMode="External"/><Relationship Id="rId3" Type="http://schemas.openxmlformats.org/officeDocument/2006/relationships/styles" Target="styles.xml"/><Relationship Id="rId7" Type="http://schemas.openxmlformats.org/officeDocument/2006/relationships/hyperlink" Target="https://library.wmo.int/viewer/55063?medianame=1160_en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trp.wmo.int/course/view.php?id=14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A8125-F613-44A8-982B-07A0F4A2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LFNunes</dc:creator>
  <cp:keywords/>
  <dc:description/>
  <cp:lastModifiedBy>Luis Filipe NUNES</cp:lastModifiedBy>
  <cp:revision>41</cp:revision>
  <dcterms:created xsi:type="dcterms:W3CDTF">2025-01-27T10:37:00Z</dcterms:created>
  <dcterms:modified xsi:type="dcterms:W3CDTF">2025-01-28T10:56:00Z</dcterms:modified>
</cp:coreProperties>
</file>