
<file path=[Content_Types].xml><?xml version="1.0" encoding="utf-8"?>
<Types xmlns="http://schemas.openxmlformats.org/package/2006/content-types">
  <Override PartName="/_rels/.rels" ContentType="application/vnd.openxmlformats-package.relationships+xml"/>
  <Override PartName="/word/_rels/footer1.xml.rels" ContentType="application/vnd.openxmlformats-package.relationship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media/image1.png" ContentType="image/png"/>
  <Override PartName="/word/settings.xml" ContentType="application/vnd.openxmlformats-officedocument.wordprocessingml.settings+xml"/>
  <Override PartName="/word/fontTable.xml" ContentType="application/vnd.openxmlformats-officedocument.wordprocessingml.fontTable+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spacing w:lineRule="auto" w:line="276"/>
        <w:jc w:val="center"/>
        <w:rPr/>
      </w:pPr>
      <w:r>
        <w:rPr>
          <w:rFonts w:cs="Arial" w:ascii="PT Sans Narrow" w:hAnsi="PT Sans Narrow"/>
          <w:bCs/>
          <w:color w:val="2F5496" w:themeColor="accent1" w:themeShade="bf"/>
          <w:sz w:val="48"/>
          <w:szCs w:val="48"/>
          <w:lang w:val="fr-FR" w:eastAsia="zh-CN"/>
        </w:rPr>
        <w:t>Organisation et gestion des événements de formation</w:t>
      </w:r>
      <w:r>
        <w:rPr>
          <w:rStyle w:val="Ancredenotedebasdepage"/>
          <w:rFonts w:cs="Arial" w:ascii="PT Sans Narrow" w:hAnsi="PT Sans Narrow"/>
          <w:bCs/>
          <w:color w:val="2F5496" w:themeColor="accent1" w:themeShade="bf"/>
          <w:sz w:val="48"/>
          <w:szCs w:val="48"/>
          <w:lang w:val="fr-FR" w:eastAsia="zh-CN"/>
        </w:rPr>
        <w:footnoteReference w:id="2"/>
      </w:r>
    </w:p>
    <w:p>
      <w:pPr>
        <w:pStyle w:val="Normal"/>
        <w:spacing w:lineRule="auto" w:line="276"/>
        <w:rPr>
          <w:color w:val="000000"/>
          <w:sz w:val="24"/>
          <w:szCs w:val="24"/>
          <w:lang w:val="fr-FR"/>
        </w:rPr>
      </w:pPr>
      <w:r>
        <w:rPr>
          <w:color w:val="000000"/>
          <w:sz w:val="24"/>
          <w:szCs w:val="24"/>
          <w:lang w:val="fr-FR"/>
        </w:rPr>
      </w:r>
    </w:p>
    <w:p>
      <w:pPr>
        <w:pStyle w:val="Normal"/>
        <w:spacing w:lineRule="auto" w:line="276"/>
        <w:rPr>
          <w:lang w:val="fr-FR"/>
        </w:rPr>
      </w:pPr>
      <w:r>
        <w:rPr>
          <w:sz w:val="24"/>
          <w:szCs w:val="24"/>
          <w:lang w:val="fr-FR"/>
        </w:rPr>
        <w:t>Les sessions de formation réussies dépendent non seulement de la qualité de la formation fournie, mais aussi de la planification qui appuie la prestation de ces événements de formation.</w:t>
      </w:r>
    </w:p>
    <w:p>
      <w:pPr>
        <w:pStyle w:val="Normal"/>
        <w:spacing w:lineRule="auto" w:line="276"/>
        <w:rPr>
          <w:sz w:val="24"/>
          <w:szCs w:val="24"/>
          <w:lang w:val="fr-FR"/>
        </w:rPr>
      </w:pPr>
      <w:r>
        <w:rPr>
          <w:sz w:val="24"/>
          <w:szCs w:val="24"/>
          <w:lang w:val="fr-FR"/>
        </w:rPr>
      </w:r>
    </w:p>
    <w:p>
      <w:pPr>
        <w:pStyle w:val="Normal"/>
        <w:spacing w:lineRule="auto" w:line="276"/>
        <w:rPr>
          <w:lang w:val="fr-FR"/>
        </w:rPr>
      </w:pPr>
      <w:r>
        <w:rPr>
          <w:sz w:val="24"/>
          <w:szCs w:val="24"/>
          <w:lang w:val="fr-FR"/>
        </w:rPr>
        <w:t>Ces directives ont été rédigées sur la base de la procédure d’organisation généralement suivie par les centres de formation régionaux (RTC) de l’OMM. Cependant, tous les conseils donnés ici peuvent être utiles à toute institution organisant des formations nationales ou internationales qui sont offertes en ligne ou en résidence (en classe).</w:t>
      </w:r>
    </w:p>
    <w:p>
      <w:pPr>
        <w:pStyle w:val="Normal"/>
        <w:spacing w:lineRule="auto" w:line="276"/>
        <w:rPr>
          <w:sz w:val="24"/>
          <w:szCs w:val="24"/>
        </w:rPr>
      </w:pPr>
      <w:r>
        <w:rPr>
          <w:sz w:val="24"/>
          <w:szCs w:val="24"/>
        </w:rPr>
      </w:r>
    </w:p>
    <w:p>
      <w:pPr>
        <w:pStyle w:val="Normal"/>
        <w:spacing w:lineRule="auto" w:line="276"/>
        <w:rPr>
          <w:rFonts w:ascii="PT Sans Narrow" w:hAnsi="PT Sans Narrow" w:eastAsia="Times New Roman" w:cs="Arial"/>
          <w:color w:val="2F5496" w:themeColor="accent1" w:themeShade="bf"/>
          <w:sz w:val="36"/>
          <w:szCs w:val="36"/>
          <w:lang w:val="fr-FR" w:eastAsia="zh-CN" w:bidi="ar-SA"/>
        </w:rPr>
      </w:pPr>
      <w:r>
        <w:rPr>
          <w:rFonts w:eastAsia="Times New Roman" w:cs="Arial" w:ascii="PT Sans Narrow" w:hAnsi="PT Sans Narrow"/>
          <w:color w:val="2F5496" w:themeColor="accent1" w:themeShade="bf"/>
          <w:sz w:val="36"/>
          <w:szCs w:val="36"/>
          <w:lang w:val="fr-FR" w:eastAsia="zh-CN" w:bidi="ar-SA"/>
        </w:rPr>
        <w:t>Trouver les bonnes personnes au bon endroit au bon moment</w:t>
      </w:r>
    </w:p>
    <w:p>
      <w:pPr>
        <w:pStyle w:val="Normal"/>
        <w:spacing w:lineRule="auto" w:line="276"/>
        <w:rPr>
          <w:sz w:val="24"/>
          <w:szCs w:val="24"/>
          <w:lang w:val="fr-FR"/>
        </w:rPr>
      </w:pPr>
      <w:r>
        <w:rPr>
          <w:sz w:val="24"/>
          <w:szCs w:val="24"/>
          <w:lang w:val="fr-FR"/>
        </w:rPr>
      </w:r>
    </w:p>
    <w:p>
      <w:pPr>
        <w:pStyle w:val="Normal"/>
        <w:spacing w:lineRule="auto" w:line="276"/>
        <w:rPr>
          <w:lang w:val="fr-FR"/>
        </w:rPr>
      </w:pPr>
      <w:r>
        <w:rPr>
          <w:sz w:val="24"/>
          <w:szCs w:val="24"/>
          <w:lang w:val="fr-FR"/>
        </w:rPr>
        <w:t>Pour atteindre les résultats attendus d’un événement de formation, il est très important d’avoir « les bonnes personnes au bon endroit au bon moment », ce qui est un principe bien connu de la planification stratégique des effectifs. Dans ce cas, l’expression « les bonnes personnes au bon endroit au bon moment » peut être interprétée comme avoir les personnes les plus appropriées impliquées dans un événement de formation, qui se déroule dans un endroit et à un moment appropriés.</w:t>
      </w:r>
    </w:p>
    <w:p>
      <w:pPr>
        <w:pStyle w:val="Normal"/>
        <w:spacing w:lineRule="auto" w:line="276"/>
        <w:rPr>
          <w:sz w:val="24"/>
          <w:szCs w:val="24"/>
          <w:lang w:val="fr-FR"/>
        </w:rPr>
      </w:pPr>
      <w:r>
        <w:rPr>
          <w:sz w:val="24"/>
          <w:szCs w:val="24"/>
          <w:lang w:val="fr-FR"/>
        </w:rPr>
      </w:r>
    </w:p>
    <w:p>
      <w:pPr>
        <w:pStyle w:val="Normal"/>
        <w:spacing w:lineRule="auto" w:line="276"/>
        <w:rPr>
          <w:lang w:val="fr-FR"/>
        </w:rPr>
      </w:pPr>
      <w:r>
        <w:rPr>
          <w:sz w:val="24"/>
          <w:szCs w:val="24"/>
          <w:lang w:val="fr-FR"/>
        </w:rPr>
        <w:t>L’expression « Les bonnes personnes » concerne les participants, les facilitateurs et les organisateurs. Bien que les organisateurs et les facilitateurs soient le plus souvent des membres du personnel de l’établissement offrant la formation, les participants peuvent provenir de différents endroits.</w:t>
      </w:r>
    </w:p>
    <w:p>
      <w:pPr>
        <w:pStyle w:val="Normal"/>
        <w:spacing w:lineRule="auto" w:line="276"/>
        <w:rPr>
          <w:sz w:val="24"/>
          <w:szCs w:val="24"/>
          <w:lang w:val="fr-FR"/>
        </w:rPr>
      </w:pPr>
      <w:r>
        <w:rPr>
          <w:sz w:val="24"/>
          <w:szCs w:val="24"/>
          <w:lang w:val="fr-FR"/>
        </w:rPr>
      </w:r>
    </w:p>
    <w:p>
      <w:pPr>
        <w:pStyle w:val="Normal"/>
        <w:spacing w:lineRule="auto" w:line="276"/>
        <w:rPr>
          <w:lang w:val="fr-FR"/>
        </w:rPr>
      </w:pPr>
      <w:r>
        <w:rPr>
          <w:sz w:val="24"/>
          <w:szCs w:val="24"/>
          <w:lang w:val="fr-FR"/>
        </w:rPr>
        <w:t>La sélection des candidats qui seront acceptés pour participer à la formation est une étape importante dans l’organisation, et pour cela, écrire des critères de sélection clairs et des formulaires de candidature peut être d’une grande aide. Ces derniers doivent poser les questions adéquates pour obtenir assez d’informations pour vous aider dans la sélection. La connaissance des critères de sélection peut également être utile aux participants, car cela peut faciliter leur décision de demander la formation qui leur convient le mieux. Fournir les critères de sélection lors de la publicité du cours est toujours une bonne pratique à suivre.</w:t>
      </w:r>
    </w:p>
    <w:p>
      <w:pPr>
        <w:pStyle w:val="Normal"/>
        <w:spacing w:lineRule="auto" w:line="276"/>
        <w:rPr>
          <w:sz w:val="24"/>
          <w:szCs w:val="24"/>
          <w:lang w:val="fr-FR"/>
        </w:rPr>
      </w:pPr>
      <w:r>
        <w:rPr>
          <w:sz w:val="24"/>
          <w:szCs w:val="24"/>
          <w:lang w:val="fr-FR"/>
        </w:rPr>
      </w:r>
    </w:p>
    <w:p>
      <w:pPr>
        <w:pStyle w:val="Normal"/>
        <w:spacing w:lineRule="auto" w:line="276"/>
        <w:rPr>
          <w:lang w:val="fr-FR"/>
        </w:rPr>
      </w:pPr>
      <w:r>
        <w:rPr>
          <w:sz w:val="24"/>
          <w:szCs w:val="24"/>
          <w:lang w:val="fr-FR"/>
        </w:rPr>
        <w:t>Le nombre de participants est un autre élément essentiel d’information. Outre son importance intrinsèque, il importe dans la planification de la prestation de formation,par exemple, pour décider du nombre d’facilitateurs nécessaires pour former un nombre donné de participants ; cette information affecte également le budget. C’est particulièrement important pour les événements en classe, car le choix du lieu, de l’hébergement, du transport, de la restauration et de la logistique dépendront du nombre de participants à recevoir.</w:t>
      </w:r>
    </w:p>
    <w:p>
      <w:pPr>
        <w:pStyle w:val="Normal"/>
        <w:spacing w:lineRule="auto" w:line="276"/>
        <w:rPr>
          <w:sz w:val="24"/>
          <w:szCs w:val="24"/>
          <w:lang w:val="fr-FR"/>
        </w:rPr>
      </w:pPr>
      <w:r>
        <w:rPr>
          <w:sz w:val="24"/>
          <w:szCs w:val="24"/>
          <w:lang w:val="fr-FR"/>
        </w:rPr>
      </w:r>
    </w:p>
    <w:p>
      <w:pPr>
        <w:pStyle w:val="Normal"/>
        <w:spacing w:lineRule="auto" w:line="276"/>
        <w:rPr>
          <w:lang w:val="fr-FR"/>
        </w:rPr>
      </w:pPr>
      <w:r>
        <w:rPr>
          <w:sz w:val="24"/>
          <w:szCs w:val="24"/>
          <w:lang w:val="fr-FR"/>
        </w:rPr>
        <w:t>« Les bonnes personnes » comprend également les facilitateurs. S’il n’y a pas assez d’facilitateurs qualifiés ou disponibles dans l’établissement d’accueil, l’invitation d’facilitateurs externes (de différentes institutions) devrait également être envisagée.</w:t>
      </w:r>
    </w:p>
    <w:p>
      <w:pPr>
        <w:pStyle w:val="Normal"/>
        <w:spacing w:lineRule="auto" w:line="276"/>
        <w:rPr>
          <w:sz w:val="24"/>
          <w:szCs w:val="24"/>
          <w:lang w:val="fr-FR"/>
        </w:rPr>
      </w:pPr>
      <w:r>
        <w:rPr>
          <w:sz w:val="24"/>
          <w:szCs w:val="24"/>
          <w:lang w:val="fr-FR"/>
        </w:rPr>
      </w:r>
    </w:p>
    <w:p>
      <w:pPr>
        <w:pStyle w:val="Normal"/>
        <w:spacing w:lineRule="auto" w:line="276"/>
        <w:rPr>
          <w:lang w:val="fr-FR"/>
        </w:rPr>
      </w:pPr>
      <w:r>
        <w:rPr>
          <w:sz w:val="24"/>
          <w:szCs w:val="24"/>
          <w:lang w:val="fr-FR"/>
        </w:rPr>
        <w:t>Enfin, les organisateurs de l’événement sont aussi un groupe important de personnes à sélectionner. Ce groupe peut comprendre des responsables de formation, du personnel administratif et du personnel de soutien technique et logistique. La répartition des responsabilités et la définition des rôles de chaque membre dans l’équipe organisatrice sont essentielles pour une planification efficace et un bon déroulement de l’événement de formation.</w:t>
      </w:r>
    </w:p>
    <w:p>
      <w:pPr>
        <w:pStyle w:val="Normal"/>
        <w:spacing w:lineRule="auto" w:line="276"/>
        <w:rPr>
          <w:sz w:val="24"/>
          <w:szCs w:val="24"/>
          <w:lang w:val="fr-FR"/>
        </w:rPr>
      </w:pPr>
      <w:r>
        <w:rPr>
          <w:sz w:val="24"/>
          <w:szCs w:val="24"/>
          <w:lang w:val="fr-FR"/>
        </w:rPr>
      </w:r>
    </w:p>
    <w:p>
      <w:pPr>
        <w:pStyle w:val="Normal"/>
        <w:spacing w:lineRule="auto" w:line="276"/>
        <w:rPr>
          <w:lang w:val="fr-FR"/>
        </w:rPr>
      </w:pPr>
      <w:r>
        <w:rPr>
          <w:sz w:val="24"/>
          <w:szCs w:val="24"/>
          <w:lang w:val="fr-FR"/>
        </w:rPr>
        <w:t>Concernant le choix du « bon endroit », il peut s’agir de l’emplacement physique pour la formation en résidence ou un emplacement virtuel, pour un cours en ligne.</w:t>
      </w:r>
    </w:p>
    <w:p>
      <w:pPr>
        <w:pStyle w:val="Normal"/>
        <w:spacing w:lineRule="auto" w:line="276"/>
        <w:rPr>
          <w:sz w:val="24"/>
          <w:szCs w:val="24"/>
          <w:lang w:val="fr-FR"/>
        </w:rPr>
      </w:pPr>
      <w:r>
        <w:rPr>
          <w:sz w:val="24"/>
          <w:szCs w:val="24"/>
          <w:lang w:val="fr-FR"/>
        </w:rPr>
      </w:r>
    </w:p>
    <w:p>
      <w:pPr>
        <w:pStyle w:val="Normal"/>
        <w:spacing w:lineRule="auto" w:line="276"/>
        <w:rPr>
          <w:lang w:val="fr-FR"/>
        </w:rPr>
      </w:pPr>
      <w:r>
        <w:rPr>
          <w:sz w:val="24"/>
          <w:szCs w:val="24"/>
          <w:lang w:val="fr-FR"/>
        </w:rPr>
        <w:t>Dans le cas de la formation en résidence, les installations physiques telles que la salle de classe, les laboratoires, les salles de groupes, la cafétéria et la bibliothèque jouent un rôle important dans la sélection du lieu de l’événement. Cependant, l’hébergement, la restauration et le transport sont également des facteurs importants à considérer. La distance entre le lieu de formation, l’hébergement et les services de restauration, par exemple, peut affecter non seulement le budget de l’événement, mais aussi le calendrier, car le temps de déplacement entre les installations devra également être pris en compte.</w:t>
      </w:r>
    </w:p>
    <w:p>
      <w:pPr>
        <w:pStyle w:val="Normal"/>
        <w:spacing w:lineRule="auto" w:line="276"/>
        <w:rPr>
          <w:sz w:val="24"/>
          <w:szCs w:val="24"/>
          <w:lang w:val="fr-FR"/>
        </w:rPr>
      </w:pPr>
      <w:r>
        <w:rPr>
          <w:sz w:val="24"/>
          <w:szCs w:val="24"/>
          <w:lang w:val="fr-FR"/>
        </w:rPr>
      </w:r>
    </w:p>
    <w:p>
      <w:pPr>
        <w:pStyle w:val="Normal"/>
        <w:spacing w:lineRule="auto" w:line="276"/>
        <w:rPr>
          <w:lang w:val="fr-FR"/>
        </w:rPr>
      </w:pPr>
      <w:r>
        <w:rPr>
          <w:sz w:val="24"/>
          <w:szCs w:val="24"/>
          <w:lang w:val="fr-FR"/>
        </w:rPr>
        <w:t>Lors de l’organisation d’une formation en ligne, la principale différence est que « l’endroit » est virtuel, de sorte que l’environnement d’apprentissage est dans le Web. Selon les objectifs de l’événement, différents formats peuvent être envisagés, ce qui indiquera quel type de technologie Web et de soutien sera nécessaire. Par exemple, si vous planifiez un briefing météo en ligne, un webinaire (abréviation de séminaire sur le Web) peut suffire. Dans ce cas, vous aurez besoin d’un système de conférence Web pour faire votre formation. D’un autre côté, si vous planifiez un cours d’une semaine, vous pouvez envisager de créer un site Web pour héberger toutes les ressources de formation. Les systèmes de gestion de l’apprentissage (LMS) sont idéaux à cette fin, car ils servent de centre où les facilitateurs et les apprenants peuvent accéder aux ressources de formation, communiquer et même travailler en collaboration pour développer des projets et participer à des activités.</w:t>
      </w:r>
    </w:p>
    <w:p>
      <w:pPr>
        <w:pStyle w:val="Normal"/>
        <w:spacing w:lineRule="auto" w:line="276"/>
        <w:rPr>
          <w:sz w:val="24"/>
          <w:szCs w:val="24"/>
          <w:lang w:val="fr-FR"/>
        </w:rPr>
      </w:pPr>
      <w:r>
        <w:rPr>
          <w:sz w:val="24"/>
          <w:szCs w:val="24"/>
          <w:lang w:val="fr-FR"/>
        </w:rPr>
      </w:r>
    </w:p>
    <w:p>
      <w:pPr>
        <w:pStyle w:val="Normal"/>
        <w:spacing w:lineRule="auto" w:line="276"/>
        <w:rPr>
          <w:lang w:val="fr-FR"/>
        </w:rPr>
      </w:pPr>
      <w:r>
        <w:rPr>
          <w:sz w:val="24"/>
          <w:szCs w:val="24"/>
          <w:lang w:val="fr-FR"/>
        </w:rPr>
        <w:t>Le « bon moment » consiste, tout d’abord, à établir la date de l’événement de formation. Il dépend principalement de la disponibilité des facilitateurs et, dans le cas d’une formation en classe, de la disponibilité du lieu. Il convient de veiller à ce que la date ne soit pas en conflit avec les jours fériés importants, les célébrations religieuses et autres événements associatifs.</w:t>
      </w:r>
    </w:p>
    <w:p>
      <w:pPr>
        <w:pStyle w:val="Normal"/>
        <w:spacing w:lineRule="auto" w:line="276"/>
        <w:rPr>
          <w:sz w:val="24"/>
          <w:szCs w:val="24"/>
          <w:lang w:val="fr-FR"/>
        </w:rPr>
      </w:pPr>
      <w:r>
        <w:rPr>
          <w:sz w:val="24"/>
          <w:szCs w:val="24"/>
          <w:lang w:val="fr-FR"/>
        </w:rPr>
      </w:r>
    </w:p>
    <w:p>
      <w:pPr>
        <w:pStyle w:val="Normal"/>
        <w:spacing w:lineRule="auto" w:line="276"/>
        <w:rPr>
          <w:lang w:val="fr-FR"/>
        </w:rPr>
      </w:pPr>
      <w:r>
        <w:rPr>
          <w:sz w:val="24"/>
          <w:szCs w:val="24"/>
          <w:lang w:val="fr-FR"/>
        </w:rPr>
        <w:t>Pour les événements en classe, la météo peut être un autre facteur important à considérer. Bien que le temps ne puisse pas être contrôlé, il vaut mieux éviter les saisons difficiles qui sont susceptibles d’être très chaudes, très froides ou trop pluvieuses par exemple.</w:t>
      </w:r>
    </w:p>
    <w:p>
      <w:pPr>
        <w:pStyle w:val="Normal"/>
        <w:spacing w:lineRule="auto" w:line="276"/>
        <w:rPr>
          <w:sz w:val="24"/>
          <w:szCs w:val="24"/>
          <w:lang w:val="fr-FR"/>
        </w:rPr>
      </w:pPr>
      <w:r>
        <w:rPr>
          <w:sz w:val="24"/>
          <w:szCs w:val="24"/>
          <w:lang w:val="fr-FR"/>
        </w:rPr>
      </w:r>
    </w:p>
    <w:p>
      <w:pPr>
        <w:pStyle w:val="Normal"/>
        <w:spacing w:lineRule="auto" w:line="276"/>
        <w:rPr>
          <w:lang w:val="fr-FR"/>
        </w:rPr>
      </w:pPr>
      <w:r>
        <w:rPr>
          <w:sz w:val="24"/>
          <w:szCs w:val="24"/>
          <w:lang w:val="fr-FR"/>
        </w:rPr>
        <w:t>La durée des formations devrait être définie par une planification minutieuse. Elle doit être assez longue pour permettre l’achèvement du programme de cours, mais pas trop éviter la perte d’intérêt et le gaspillage des ressources.</w:t>
      </w:r>
    </w:p>
    <w:p>
      <w:pPr>
        <w:pStyle w:val="Normal"/>
        <w:spacing w:lineRule="auto" w:line="276"/>
        <w:rPr>
          <w:sz w:val="24"/>
          <w:szCs w:val="24"/>
          <w:lang w:val="fr-FR"/>
        </w:rPr>
      </w:pPr>
      <w:r>
        <w:rPr>
          <w:sz w:val="24"/>
          <w:szCs w:val="24"/>
          <w:lang w:val="fr-FR"/>
        </w:rPr>
      </w:r>
    </w:p>
    <w:p>
      <w:pPr>
        <w:pStyle w:val="Normal"/>
        <w:spacing w:lineRule="auto" w:line="276"/>
        <w:rPr>
          <w:lang w:val="fr-FR"/>
        </w:rPr>
      </w:pPr>
      <w:r>
        <w:rPr>
          <w:sz w:val="24"/>
          <w:szCs w:val="24"/>
          <w:lang w:val="fr-FR"/>
        </w:rPr>
        <w:t>De même que la formation en résidence, les événements de formation en ligne bénéficient également d’un calendrier précis et d’un déroulement bien établi. Cela aide les apprenants à maintenir l’effort et à terminer les activités dans les délais impartis, au lieu de repousser leur temps d’étude à une date ultérieure. Par ailleurs, si la formation implique des apprenants et des facilitateurs situés dans des fuseaux horaires différents, le travail de groupe synchrone devrait être évité. Dans ce cas, les activités alternatives qui peuvent être effectuées de manière asynchrone peuvent être aussi efficaces et beaucoup moins stressantes.</w:t>
      </w:r>
    </w:p>
    <w:p>
      <w:pPr>
        <w:pStyle w:val="Normal"/>
        <w:spacing w:lineRule="auto" w:line="276"/>
        <w:rPr>
          <w:sz w:val="24"/>
          <w:szCs w:val="24"/>
          <w:lang w:val="fr-FR"/>
        </w:rPr>
      </w:pPr>
      <w:r>
        <w:rPr>
          <w:sz w:val="24"/>
          <w:szCs w:val="24"/>
          <w:lang w:val="fr-FR"/>
        </w:rPr>
      </w:r>
    </w:p>
    <w:p>
      <w:pPr>
        <w:pStyle w:val="Normal"/>
        <w:spacing w:lineRule="auto" w:line="276"/>
        <w:rPr>
          <w:lang w:val="fr-FR"/>
        </w:rPr>
      </w:pPr>
      <w:r>
        <w:rPr>
          <w:sz w:val="24"/>
          <w:szCs w:val="24"/>
          <w:lang w:val="fr-FR"/>
        </w:rPr>
        <w:t>Obtenir « les bonnes personnes au bon endroit au bon moment » n’est possible qu’avec une planification détaillée et une organisation efficace. Cela comprend une variété d’activités à effectuer avant, pendant et après l’événement de formation. Certaines de ces activités sont décrites dans les sections suivantes, mais veuillez noter que cette liste n’est pas exhaustive.</w:t>
      </w:r>
    </w:p>
    <w:p>
      <w:pPr>
        <w:pStyle w:val="Normal"/>
        <w:spacing w:lineRule="auto" w:line="276"/>
        <w:rPr>
          <w:sz w:val="24"/>
          <w:szCs w:val="24"/>
          <w:lang w:val="fr-FR"/>
        </w:rPr>
      </w:pPr>
      <w:r>
        <w:rPr>
          <w:sz w:val="24"/>
          <w:szCs w:val="24"/>
          <w:lang w:val="fr-FR"/>
        </w:rPr>
      </w:r>
    </w:p>
    <w:p>
      <w:pPr>
        <w:pStyle w:val="Normal"/>
        <w:spacing w:lineRule="auto" w:line="276"/>
        <w:rPr>
          <w:rFonts w:ascii="PT Sans Narrow" w:hAnsi="PT Sans Narrow" w:eastAsia="Times New Roman" w:cs="Arial"/>
          <w:color w:val="2F5496" w:themeColor="accent1" w:themeShade="bf"/>
          <w:sz w:val="36"/>
          <w:szCs w:val="36"/>
          <w:lang w:val="fr-FR" w:eastAsia="zh-CN" w:bidi="ar-SA"/>
        </w:rPr>
      </w:pPr>
      <w:r>
        <w:rPr>
          <w:rFonts w:eastAsia="Times New Roman" w:cs="Arial" w:ascii="PT Sans Narrow" w:hAnsi="PT Sans Narrow"/>
          <w:color w:val="2F5496" w:themeColor="accent1" w:themeShade="bf"/>
          <w:sz w:val="36"/>
          <w:szCs w:val="36"/>
          <w:lang w:val="fr-FR" w:eastAsia="zh-CN" w:bidi="ar-SA"/>
        </w:rPr>
        <w:t>Activités avant l’événement de formation</w:t>
      </w:r>
    </w:p>
    <w:p>
      <w:pPr>
        <w:pStyle w:val="Normal"/>
        <w:spacing w:lineRule="auto" w:line="276"/>
        <w:rPr>
          <w:rFonts w:ascii="PT Sans Narrow" w:hAnsi="PT Sans Narrow" w:eastAsia="Times New Roman" w:cs="Arial"/>
          <w:bCs/>
          <w:color w:val="FF6600"/>
          <w:sz w:val="28"/>
          <w:szCs w:val="28"/>
          <w:lang w:val="fr-FR" w:eastAsia="zh-CN" w:bidi="ar-SA"/>
        </w:rPr>
      </w:pPr>
      <w:r>
        <w:rPr>
          <w:rFonts w:eastAsia="Times New Roman" w:cs="Arial" w:ascii="PT Sans Narrow" w:hAnsi="PT Sans Narrow"/>
          <w:bCs/>
          <w:color w:val="FF6600"/>
          <w:sz w:val="28"/>
          <w:szCs w:val="28"/>
          <w:lang w:val="fr-FR" w:eastAsia="zh-CN" w:bidi="ar-SA"/>
        </w:rPr>
      </w:r>
    </w:p>
    <w:p>
      <w:pPr>
        <w:pStyle w:val="Normal"/>
        <w:spacing w:lineRule="auto" w:line="276"/>
        <w:rPr>
          <w:rFonts w:ascii="PT Sans Narrow" w:hAnsi="PT Sans Narrow" w:eastAsia="Times New Roman" w:cs="Arial"/>
          <w:bCs/>
          <w:color w:val="FF6600"/>
          <w:sz w:val="28"/>
          <w:szCs w:val="28"/>
          <w:lang w:val="fr-FR" w:eastAsia="zh-CN" w:bidi="ar-SA"/>
        </w:rPr>
      </w:pPr>
      <w:r>
        <w:rPr>
          <w:rFonts w:eastAsia="Times New Roman" w:cs="Arial" w:ascii="PT Sans Narrow" w:hAnsi="PT Sans Narrow"/>
          <w:bCs/>
          <w:color w:val="FF6600"/>
          <w:sz w:val="28"/>
          <w:szCs w:val="28"/>
          <w:lang w:val="fr-FR" w:eastAsia="zh-CN" w:bidi="ar-SA"/>
        </w:rPr>
        <w:t>Former un comité d’organisation</w:t>
      </w:r>
    </w:p>
    <w:p>
      <w:pPr>
        <w:pStyle w:val="Normal"/>
        <w:spacing w:lineRule="auto" w:line="276"/>
        <w:rPr>
          <w:lang w:val="fr-FR"/>
        </w:rPr>
      </w:pPr>
      <w:r>
        <w:rPr>
          <w:sz w:val="24"/>
          <w:szCs w:val="24"/>
          <w:lang w:val="fr-FR"/>
        </w:rPr>
        <w:t>Le rôle d’un comité d’organisation est de prendre la responsabilité de la tenue de l’événement de formation. Il doit y avoir un nombre suffisant de membres pour veiller à ce que la charge de travail et les responsabilités soient partagées. La taille du comité dépendra de la taille de l’événement de formation.</w:t>
      </w:r>
    </w:p>
    <w:p>
      <w:pPr>
        <w:pStyle w:val="Normal"/>
        <w:spacing w:lineRule="auto" w:line="276"/>
        <w:rPr>
          <w:sz w:val="24"/>
          <w:szCs w:val="24"/>
          <w:lang w:val="fr-FR"/>
        </w:rPr>
      </w:pPr>
      <w:r>
        <w:rPr>
          <w:sz w:val="24"/>
          <w:szCs w:val="24"/>
          <w:lang w:val="fr-FR"/>
        </w:rPr>
      </w:r>
    </w:p>
    <w:p>
      <w:pPr>
        <w:pStyle w:val="Normal"/>
        <w:spacing w:lineRule="auto" w:line="276"/>
        <w:rPr>
          <w:rFonts w:ascii="PT Sans Narrow" w:hAnsi="PT Sans Narrow" w:eastAsia="Times New Roman" w:cs="Arial"/>
          <w:bCs/>
          <w:color w:val="FF6600"/>
          <w:sz w:val="28"/>
          <w:szCs w:val="28"/>
          <w:lang w:val="fr-FR" w:eastAsia="zh-CN" w:bidi="ar-SA"/>
        </w:rPr>
      </w:pPr>
      <w:r>
        <w:rPr>
          <w:rFonts w:eastAsia="Times New Roman" w:cs="Arial" w:ascii="PT Sans Narrow" w:hAnsi="PT Sans Narrow"/>
          <w:bCs/>
          <w:color w:val="FF6600"/>
          <w:sz w:val="28"/>
          <w:szCs w:val="28"/>
          <w:lang w:val="fr-FR" w:eastAsia="zh-CN" w:bidi="ar-SA"/>
        </w:rPr>
        <w:t>Développer une feuille de planification du travail</w:t>
      </w:r>
    </w:p>
    <w:p>
      <w:pPr>
        <w:pStyle w:val="Normal"/>
        <w:spacing w:lineRule="auto" w:line="276"/>
        <w:rPr>
          <w:lang w:val="fr-FR"/>
        </w:rPr>
      </w:pPr>
      <w:r>
        <w:rPr>
          <w:sz w:val="24"/>
          <w:szCs w:val="24"/>
          <w:lang w:val="fr-FR"/>
        </w:rPr>
        <w:t>Une feuille de planification du travail est un document important et montre le calendrier pour les étapes de l’organisation. Il devrait inclure :</w:t>
      </w:r>
    </w:p>
    <w:p>
      <w:pPr>
        <w:pStyle w:val="Puce1"/>
        <w:numPr>
          <w:ilvl w:val="0"/>
          <w:numId w:val="2"/>
        </w:numPr>
        <w:rPr>
          <w:sz w:val="24"/>
          <w:szCs w:val="24"/>
        </w:rPr>
      </w:pPr>
      <w:r>
        <w:rPr/>
        <w:t>Toutes les activités à entreprendre</w:t>
      </w:r>
    </w:p>
    <w:p>
      <w:pPr>
        <w:pStyle w:val="Puce1"/>
        <w:numPr>
          <w:ilvl w:val="0"/>
          <w:numId w:val="2"/>
        </w:numPr>
        <w:rPr>
          <w:sz w:val="24"/>
          <w:szCs w:val="24"/>
        </w:rPr>
      </w:pPr>
      <w:r>
        <w:rPr/>
        <w:t>Les personnes responsables</w:t>
      </w:r>
    </w:p>
    <w:p>
      <w:pPr>
        <w:pStyle w:val="Puce1"/>
        <w:numPr>
          <w:ilvl w:val="0"/>
          <w:numId w:val="2"/>
        </w:numPr>
        <w:rPr>
          <w:sz w:val="24"/>
          <w:szCs w:val="24"/>
        </w:rPr>
      </w:pPr>
      <w:r>
        <w:rPr/>
        <w:t>Dates limites pour finir chaque activité</w:t>
      </w:r>
    </w:p>
    <w:p>
      <w:pPr>
        <w:pStyle w:val="Normal"/>
        <w:spacing w:lineRule="auto" w:line="276"/>
        <w:rPr>
          <w:sz w:val="24"/>
          <w:szCs w:val="24"/>
          <w:lang w:val="fr-FR"/>
        </w:rPr>
      </w:pPr>
      <w:r>
        <w:rPr>
          <w:sz w:val="24"/>
          <w:szCs w:val="24"/>
          <w:lang w:val="fr-FR"/>
        </w:rPr>
      </w:r>
    </w:p>
    <w:p>
      <w:pPr>
        <w:pStyle w:val="Normal"/>
        <w:spacing w:lineRule="auto" w:line="276"/>
        <w:rPr>
          <w:rFonts w:ascii="PT Sans Narrow" w:hAnsi="PT Sans Narrow" w:eastAsia="Times New Roman" w:cs="Arial"/>
          <w:bCs/>
          <w:color w:val="FF6600"/>
          <w:sz w:val="28"/>
          <w:szCs w:val="28"/>
          <w:lang w:val="fr-FR" w:eastAsia="zh-CN" w:bidi="ar-SA"/>
        </w:rPr>
      </w:pPr>
      <w:r>
        <w:rPr>
          <w:rFonts w:eastAsia="Times New Roman" w:cs="Arial" w:ascii="PT Sans Narrow" w:hAnsi="PT Sans Narrow"/>
          <w:bCs/>
          <w:color w:val="FF6600"/>
          <w:sz w:val="28"/>
          <w:szCs w:val="28"/>
          <w:lang w:val="fr-FR" w:eastAsia="zh-CN" w:bidi="ar-SA"/>
        </w:rPr>
        <w:t>Décider des dates</w:t>
      </w:r>
    </w:p>
    <w:p>
      <w:pPr>
        <w:pStyle w:val="Normal"/>
        <w:spacing w:lineRule="auto" w:line="276"/>
        <w:rPr>
          <w:lang w:val="fr-FR"/>
        </w:rPr>
      </w:pPr>
      <w:r>
        <w:rPr>
          <w:sz w:val="24"/>
          <w:szCs w:val="24"/>
          <w:lang w:val="fr-FR"/>
        </w:rPr>
        <w:t>La date dépendra de la disponibilité des facilitateurs et du lieu (le cas échéant). Il convient de veiller à ce que les dates de formation ne soient pas en conflit avec les grandes fêtes, fêtes religieuses et autres événements sociaux.</w:t>
      </w:r>
    </w:p>
    <w:p>
      <w:pPr>
        <w:pStyle w:val="Normal"/>
        <w:spacing w:lineRule="auto" w:line="276"/>
        <w:rPr>
          <w:sz w:val="24"/>
          <w:szCs w:val="24"/>
          <w:lang w:val="fr-FR"/>
        </w:rPr>
      </w:pPr>
      <w:r>
        <w:rPr>
          <w:sz w:val="24"/>
          <w:szCs w:val="24"/>
          <w:lang w:val="fr-FR"/>
        </w:rPr>
      </w:r>
    </w:p>
    <w:p>
      <w:pPr>
        <w:pStyle w:val="Normal"/>
        <w:spacing w:lineRule="auto" w:line="276"/>
        <w:rPr>
          <w:sz w:val="24"/>
          <w:szCs w:val="24"/>
          <w:lang w:val="fr-FR"/>
        </w:rPr>
      </w:pPr>
      <w:r>
        <w:rPr>
          <w:sz w:val="24"/>
          <w:szCs w:val="24"/>
          <w:lang w:val="fr-FR"/>
        </w:rPr>
      </w:r>
    </w:p>
    <w:p>
      <w:pPr>
        <w:pStyle w:val="Normal"/>
        <w:spacing w:lineRule="auto" w:line="276"/>
        <w:rPr/>
      </w:pPr>
      <w:r>
        <w:rPr>
          <w:rFonts w:eastAsia="Times New Roman" w:cs="Arial" w:ascii="PT Sans Narrow" w:hAnsi="PT Sans Narrow"/>
          <w:bCs/>
          <w:color w:val="FF6600"/>
          <w:sz w:val="28"/>
          <w:szCs w:val="28"/>
          <w:lang w:val="fr-FR" w:eastAsia="zh-CN" w:bidi="ar-SA"/>
        </w:rPr>
        <w:t>Sélectionner un lieu</w:t>
      </w:r>
    </w:p>
    <w:p>
      <w:pPr>
        <w:pStyle w:val="Normal"/>
        <w:spacing w:lineRule="auto" w:line="276"/>
        <w:rPr>
          <w:lang w:val="fr-FR"/>
        </w:rPr>
      </w:pPr>
      <w:r>
        <w:rPr>
          <w:sz w:val="24"/>
          <w:szCs w:val="24"/>
          <w:lang w:val="fr-FR"/>
        </w:rPr>
        <w:t>Si vous organisez une activité de formation en résidence (en classe), vous devrez choisir un lieu. Voici quelques critères à prendre en compte lors de la sélection :</w:t>
      </w:r>
    </w:p>
    <w:p>
      <w:pPr>
        <w:pStyle w:val="Puce1"/>
        <w:numPr>
          <w:ilvl w:val="0"/>
          <w:numId w:val="2"/>
        </w:numPr>
        <w:rPr/>
      </w:pPr>
      <w:r>
        <w:rPr/>
        <w:t>Salle de classe (exigences et équipements)</w:t>
      </w:r>
    </w:p>
    <w:p>
      <w:pPr>
        <w:pStyle w:val="Puce1"/>
        <w:numPr>
          <w:ilvl w:val="0"/>
          <w:numId w:val="2"/>
        </w:numPr>
        <w:rPr/>
      </w:pPr>
      <w:r>
        <w:rPr/>
        <w:t>Laboratoires (PC, progiciels, instruments)</w:t>
      </w:r>
    </w:p>
    <w:p>
      <w:pPr>
        <w:pStyle w:val="Puce1"/>
        <w:numPr>
          <w:ilvl w:val="0"/>
          <w:numId w:val="2"/>
        </w:numPr>
        <w:rPr/>
      </w:pPr>
      <w:r>
        <w:rPr/>
        <w:t>Salles de groupes</w:t>
      </w:r>
    </w:p>
    <w:p>
      <w:pPr>
        <w:pStyle w:val="Puce1"/>
        <w:numPr>
          <w:ilvl w:val="0"/>
          <w:numId w:val="2"/>
        </w:numPr>
        <w:rPr/>
      </w:pPr>
      <w:r>
        <w:rPr/>
        <w:t>Cafétéria, Restaurant (Pauses, Repas)</w:t>
      </w:r>
    </w:p>
    <w:p>
      <w:pPr>
        <w:pStyle w:val="Puce1"/>
        <w:numPr>
          <w:ilvl w:val="0"/>
          <w:numId w:val="2"/>
        </w:numPr>
        <w:rPr/>
      </w:pPr>
      <w:r>
        <w:rPr/>
        <w:t>Hébergement (résidence, Hôtel)</w:t>
      </w:r>
    </w:p>
    <w:p>
      <w:pPr>
        <w:pStyle w:val="Puce1"/>
        <w:numPr>
          <w:ilvl w:val="0"/>
          <w:numId w:val="2"/>
        </w:numPr>
        <w:rPr/>
      </w:pPr>
      <w:r>
        <w:rPr/>
        <w:t>Transport entre l’aéroport et le lieu de formation</w:t>
      </w:r>
    </w:p>
    <w:p>
      <w:pPr>
        <w:pStyle w:val="Puce1"/>
        <w:numPr>
          <w:ilvl w:val="0"/>
          <w:numId w:val="2"/>
        </w:numPr>
        <w:rPr/>
      </w:pPr>
      <w:r>
        <w:rPr/>
        <w:t>Transport entre les installations d’hébergement et de formation (au besoin)</w:t>
      </w:r>
    </w:p>
    <w:p>
      <w:pPr>
        <w:pStyle w:val="Puce1"/>
        <w:numPr>
          <w:ilvl w:val="0"/>
          <w:numId w:val="2"/>
        </w:numPr>
        <w:rPr/>
      </w:pPr>
      <w:r>
        <w:rPr/>
        <w:t>Rentrer dans le budget</w:t>
      </w:r>
    </w:p>
    <w:p>
      <w:pPr>
        <w:pStyle w:val="Puce1"/>
        <w:numPr>
          <w:ilvl w:val="0"/>
          <w:numId w:val="2"/>
        </w:numPr>
        <w:rPr/>
      </w:pPr>
      <w:r>
        <w:rPr/>
        <w:t>Accessibilité des transports publics</w:t>
      </w:r>
    </w:p>
    <w:p>
      <w:pPr>
        <w:pStyle w:val="Puce1"/>
        <w:numPr>
          <w:ilvl w:val="0"/>
          <w:numId w:val="2"/>
        </w:numPr>
        <w:rPr/>
      </w:pPr>
      <w:r>
        <w:rPr/>
        <w:t>Accès handicapés</w:t>
      </w:r>
    </w:p>
    <w:p>
      <w:pPr>
        <w:pStyle w:val="Puce1"/>
        <w:numPr>
          <w:ilvl w:val="0"/>
          <w:numId w:val="2"/>
        </w:numPr>
        <w:rPr/>
      </w:pPr>
      <w:r>
        <w:rPr/>
        <w:t>Installations acceptables (par exemple toilettes propres, vestiaires disponibles)</w:t>
      </w:r>
    </w:p>
    <w:p>
      <w:pPr>
        <w:pStyle w:val="Puce1"/>
        <w:numPr>
          <w:ilvl w:val="0"/>
          <w:numId w:val="2"/>
        </w:numPr>
        <w:rPr/>
      </w:pPr>
      <w:r>
        <w:rPr/>
        <w:t>Exigences de sécurité</w:t>
      </w:r>
    </w:p>
    <w:p>
      <w:pPr>
        <w:pStyle w:val="Puce1"/>
        <w:numPr>
          <w:ilvl w:val="0"/>
          <w:numId w:val="2"/>
        </w:numPr>
        <w:rPr/>
      </w:pPr>
      <w:r>
        <w:rPr/>
        <w:t>Chauffage / climatisation adéquats</w:t>
      </w:r>
    </w:p>
    <w:p>
      <w:pPr>
        <w:pStyle w:val="Puce1"/>
        <w:numPr>
          <w:ilvl w:val="0"/>
          <w:numId w:val="2"/>
        </w:numPr>
        <w:rPr/>
      </w:pPr>
      <w:r>
        <w:rPr/>
        <w:t>Le matériel est-il fourni sur place (tableaux blancs, tableaux à feuilles, chaises, tables, équipement de son, etc.) ou doit-il être emprunté ou loué ?</w:t>
      </w:r>
    </w:p>
    <w:p>
      <w:pPr>
        <w:pStyle w:val="Puce1"/>
        <w:numPr>
          <w:ilvl w:val="0"/>
          <w:numId w:val="2"/>
        </w:numPr>
        <w:rPr/>
      </w:pPr>
      <w:r>
        <w:rPr/>
        <w:t>Le lieu répondra-t-il aux besoins en nourriture et en boissons ou faudra-t-il prendre des dispositions distinctes ?</w:t>
      </w:r>
    </w:p>
    <w:p>
      <w:pPr>
        <w:pStyle w:val="Normal"/>
        <w:spacing w:lineRule="auto" w:line="276"/>
        <w:rPr>
          <w:sz w:val="24"/>
          <w:szCs w:val="24"/>
          <w:lang w:val="fr-FR"/>
        </w:rPr>
      </w:pPr>
      <w:r>
        <w:rPr>
          <w:sz w:val="24"/>
          <w:szCs w:val="24"/>
          <w:lang w:val="fr-FR"/>
        </w:rPr>
      </w:r>
    </w:p>
    <w:p>
      <w:pPr>
        <w:pStyle w:val="Normal"/>
        <w:spacing w:lineRule="auto" w:line="276"/>
        <w:rPr>
          <w:rFonts w:ascii="PT Sans Narrow" w:hAnsi="PT Sans Narrow" w:eastAsia="Times New Roman" w:cs="Arial"/>
          <w:bCs/>
          <w:color w:val="FF6600"/>
          <w:sz w:val="28"/>
          <w:szCs w:val="28"/>
          <w:lang w:val="fr-FR" w:eastAsia="zh-CN" w:bidi="ar-SA"/>
        </w:rPr>
      </w:pPr>
      <w:r>
        <w:rPr>
          <w:rFonts w:eastAsia="Times New Roman" w:cs="Arial" w:ascii="PT Sans Narrow" w:hAnsi="PT Sans Narrow"/>
          <w:bCs/>
          <w:color w:val="FF6600"/>
          <w:sz w:val="28"/>
          <w:szCs w:val="28"/>
          <w:lang w:val="fr-FR" w:eastAsia="zh-CN" w:bidi="ar-SA"/>
        </w:rPr>
        <w:t>Développer un site web pour l’évènement de formation</w:t>
      </w:r>
    </w:p>
    <w:p>
      <w:pPr>
        <w:pStyle w:val="Normal"/>
        <w:spacing w:lineRule="auto" w:line="276"/>
        <w:rPr>
          <w:lang w:val="fr-FR"/>
        </w:rPr>
      </w:pPr>
      <w:r>
        <w:rPr>
          <w:sz w:val="24"/>
          <w:szCs w:val="24"/>
          <w:lang w:val="fr-FR"/>
        </w:rPr>
        <w:t>Même s’il ne s’agit pas d’un événement de formation en ligne, un environnement d’apprentissage en ligne pour l’événement peut être d’une grande aide. Un tel site Web peut être utilisé pour :</w:t>
      </w:r>
    </w:p>
    <w:p>
      <w:pPr>
        <w:pStyle w:val="ListBullet3"/>
        <w:numPr>
          <w:ilvl w:val="0"/>
          <w:numId w:val="2"/>
        </w:numPr>
        <w:spacing w:before="0" w:after="0"/>
        <w:rPr/>
      </w:pPr>
      <w:r>
        <w:rPr/>
        <w:t>des activités préparatoires (forum de discussion, sondages, matériel de lecture, etc.)</w:t>
      </w:r>
    </w:p>
    <w:p>
      <w:pPr>
        <w:pStyle w:val="ListBullet3"/>
        <w:numPr>
          <w:ilvl w:val="0"/>
          <w:numId w:val="2"/>
        </w:numPr>
        <w:spacing w:before="0" w:after="0"/>
        <w:rPr/>
      </w:pPr>
      <w:r>
        <w:rPr/>
        <w:t>l’affichage des informations logistiques (lieu, installations, transport, hébergement, informations de sécurité, etc.)</w:t>
      </w:r>
    </w:p>
    <w:p>
      <w:pPr>
        <w:pStyle w:val="ListBullet3"/>
        <w:numPr>
          <w:ilvl w:val="0"/>
          <w:numId w:val="2"/>
        </w:numPr>
        <w:spacing w:before="0" w:after="0"/>
        <w:rPr/>
      </w:pPr>
      <w:r>
        <w:rPr/>
        <w:t>déposer des ressources et procédures</w:t>
      </w:r>
    </w:p>
    <w:p>
      <w:pPr>
        <w:pStyle w:val="ListBullet3"/>
        <w:numPr>
          <w:ilvl w:val="0"/>
          <w:numId w:val="2"/>
        </w:numPr>
        <w:spacing w:before="0" w:after="0"/>
        <w:rPr/>
      </w:pPr>
      <w:r>
        <w:rPr/>
        <w:t>Rester en contact avec les participants et mener des activités de suivi comme des sondages et des discussions.</w:t>
      </w:r>
    </w:p>
    <w:p>
      <w:pPr>
        <w:pStyle w:val="Normal"/>
        <w:spacing w:lineRule="auto" w:line="276"/>
        <w:rPr>
          <w:lang w:val="fr-FR"/>
        </w:rPr>
      </w:pPr>
      <w:r>
        <w:rPr>
          <w:sz w:val="24"/>
          <w:szCs w:val="24"/>
          <w:lang w:val="fr-FR"/>
        </w:rPr>
        <w:t>L’utilisation d’un système de gestion de l’apprentissage (LMS comme Moodle, par exemple) pour créer le site web du cours peut être très utile, car le système dispose des outils appropriés pour structurer le cours, mettre les ressources de formation à disposition et faciliter la communication entre les organisateurs, facilitateurs et apprenants.</w:t>
      </w:r>
    </w:p>
    <w:p>
      <w:pPr>
        <w:pStyle w:val="Normal"/>
        <w:rPr>
          <w:sz w:val="24"/>
          <w:szCs w:val="24"/>
        </w:rPr>
      </w:pPr>
      <w:r>
        <w:rPr>
          <w:sz w:val="24"/>
          <w:szCs w:val="24"/>
        </w:rPr>
        <w:t>Si vous utilisez un LMS, les aspects suivants doivent être pris en compte :</w:t>
      </w:r>
    </w:p>
    <w:p>
      <w:pPr>
        <w:pStyle w:val="ListBullet3"/>
        <w:numPr>
          <w:ilvl w:val="0"/>
          <w:numId w:val="2"/>
        </w:numPr>
        <w:spacing w:before="0" w:after="0"/>
        <w:rPr/>
      </w:pPr>
      <w:r>
        <w:rPr/>
        <w:t>Si votre institution décide d’héberger un LMS : un personnel qualifié sera nécessaire pour installer, configurer et maintenir le système</w:t>
      </w:r>
    </w:p>
    <w:p>
      <w:pPr>
        <w:pStyle w:val="ListBullet3"/>
        <w:numPr>
          <w:ilvl w:val="0"/>
          <w:numId w:val="2"/>
        </w:numPr>
        <w:spacing w:before="0" w:after="0"/>
        <w:rPr/>
      </w:pPr>
      <w:r>
        <w:rPr/>
        <w:t>Si votre institution décide de passer un contrat avec une société d’hébergement LMS : le budget devra être soigneusement examiné</w:t>
      </w:r>
    </w:p>
    <w:p>
      <w:pPr>
        <w:pStyle w:val="ListBullet3"/>
        <w:numPr>
          <w:ilvl w:val="0"/>
          <w:numId w:val="0"/>
        </w:numPr>
        <w:ind w:left="227" w:hanging="0"/>
        <w:rPr/>
      </w:pPr>
      <w:r>
        <w:rPr/>
      </w:r>
    </w:p>
    <w:p>
      <w:pPr>
        <w:pStyle w:val="Normal"/>
        <w:spacing w:lineRule="auto" w:line="276"/>
        <w:rPr>
          <w:lang w:val="fr-FR"/>
        </w:rPr>
      </w:pPr>
      <w:r>
        <w:rPr>
          <w:sz w:val="24"/>
          <w:szCs w:val="24"/>
          <w:lang w:val="fr-FR"/>
        </w:rPr>
        <w:t>Indépendamment de qui héberge le LMS, les organisateurs devront avoir du personnel qui connaît les capacités du système pour concevoir l’environnement d’apprentissage et accompagner les facilitateurs. En outre, une très bonne pratique à suivre lors de l’utilisation des environnements d’apprentissage en ligne consiste à rédiger un petit guide pour aider les apprenants à explorer le site Web du cours.</w:t>
      </w:r>
    </w:p>
    <w:p>
      <w:pPr>
        <w:pStyle w:val="Normal"/>
        <w:spacing w:lineRule="auto" w:line="276"/>
        <w:rPr>
          <w:sz w:val="24"/>
          <w:szCs w:val="24"/>
          <w:lang w:val="fr-FR"/>
        </w:rPr>
      </w:pPr>
      <w:r>
        <w:rPr>
          <w:sz w:val="24"/>
          <w:szCs w:val="24"/>
          <w:lang w:val="fr-FR"/>
        </w:rPr>
      </w:r>
    </w:p>
    <w:p>
      <w:pPr>
        <w:pStyle w:val="Normal"/>
        <w:spacing w:lineRule="auto" w:line="276"/>
        <w:rPr/>
      </w:pPr>
      <w:r>
        <w:rPr>
          <w:rFonts w:eastAsia="Times New Roman" w:cs="Arial" w:ascii="PT Sans Narrow" w:hAnsi="PT Sans Narrow"/>
          <w:bCs/>
          <w:color w:val="FF6600"/>
          <w:sz w:val="28"/>
          <w:szCs w:val="28"/>
          <w:lang w:val="fr-FR" w:eastAsia="zh-CN" w:bidi="ar-SA"/>
        </w:rPr>
        <w:t>Établir un budget</w:t>
      </w:r>
    </w:p>
    <w:p>
      <w:pPr>
        <w:pStyle w:val="Normal"/>
        <w:spacing w:lineRule="auto" w:line="276"/>
        <w:rPr>
          <w:lang w:val="fr-FR"/>
        </w:rPr>
      </w:pPr>
      <w:r>
        <w:rPr>
          <w:sz w:val="24"/>
          <w:szCs w:val="24"/>
          <w:lang w:val="fr-FR"/>
        </w:rPr>
        <w:t>L’établissement d’un budget permettra aux organisateurs d’identifier d’où les fonds pourraient provenir et quelles dépenses sont susceptibles de se produire. Avec cette information, les organisateurs seront en mesure de dire combien d’argent sera nécessaire et combien d’argent sera disponible et de déterminer les frais de scolarité, le cas échéant.</w:t>
      </w:r>
    </w:p>
    <w:p>
      <w:pPr>
        <w:pStyle w:val="Normal"/>
        <w:spacing w:lineRule="auto" w:line="276"/>
        <w:rPr>
          <w:sz w:val="24"/>
          <w:szCs w:val="24"/>
        </w:rPr>
      </w:pPr>
      <w:r>
        <w:rPr>
          <w:sz w:val="24"/>
          <w:szCs w:val="24"/>
        </w:rPr>
      </w:r>
    </w:p>
    <w:p>
      <w:pPr>
        <w:pStyle w:val="Normal"/>
        <w:spacing w:lineRule="auto" w:line="276"/>
        <w:rPr>
          <w:lang w:val="fr-FR"/>
        </w:rPr>
      </w:pPr>
      <w:r>
        <w:rPr>
          <w:sz w:val="24"/>
          <w:szCs w:val="24"/>
          <w:lang w:val="fr-FR"/>
        </w:rPr>
        <w:t>Les dépenses peuvent inclure :</w:t>
      </w:r>
    </w:p>
    <w:p>
      <w:pPr>
        <w:pStyle w:val="ListBullet3"/>
        <w:numPr>
          <w:ilvl w:val="0"/>
          <w:numId w:val="2"/>
        </w:numPr>
        <w:spacing w:before="0" w:after="0"/>
        <w:rPr/>
      </w:pPr>
      <w:r>
        <w:rPr/>
        <w:t>Location de salle</w:t>
      </w:r>
    </w:p>
    <w:p>
      <w:pPr>
        <w:pStyle w:val="ListBullet3"/>
        <w:numPr>
          <w:ilvl w:val="0"/>
          <w:numId w:val="2"/>
        </w:numPr>
        <w:spacing w:before="0" w:after="0"/>
        <w:rPr/>
      </w:pPr>
      <w:r>
        <w:rPr/>
        <w:t>location d’équipements</w:t>
      </w:r>
    </w:p>
    <w:p>
      <w:pPr>
        <w:pStyle w:val="ListBullet3"/>
        <w:numPr>
          <w:ilvl w:val="0"/>
          <w:numId w:val="2"/>
        </w:numPr>
        <w:spacing w:before="0" w:after="0"/>
        <w:rPr/>
      </w:pPr>
      <w:r>
        <w:rPr/>
        <w:t>Traiteur pour les repas et les pauses café</w:t>
      </w:r>
    </w:p>
    <w:p>
      <w:pPr>
        <w:pStyle w:val="ListBullet3"/>
        <w:numPr>
          <w:ilvl w:val="0"/>
          <w:numId w:val="2"/>
        </w:numPr>
        <w:spacing w:before="0" w:after="0"/>
        <w:rPr/>
      </w:pPr>
      <w:r>
        <w:rPr/>
        <w:t>Papeterie (papier, stylos, badges nominatifs, plaques signalétiques, clés USB, etc.)</w:t>
      </w:r>
    </w:p>
    <w:p>
      <w:pPr>
        <w:pStyle w:val="ListBullet3"/>
        <w:numPr>
          <w:ilvl w:val="0"/>
          <w:numId w:val="2"/>
        </w:numPr>
        <w:spacing w:before="0" w:after="0"/>
        <w:rPr/>
      </w:pPr>
      <w:r>
        <w:rPr/>
        <w:t>Promotions (impression d’affiches et de bannières, publicité, souvenirs)</w:t>
      </w:r>
    </w:p>
    <w:p>
      <w:pPr>
        <w:pStyle w:val="ListBullet3"/>
        <w:numPr>
          <w:ilvl w:val="0"/>
          <w:numId w:val="2"/>
        </w:numPr>
        <w:spacing w:before="0" w:after="0"/>
        <w:rPr/>
      </w:pPr>
      <w:r>
        <w:rPr/>
        <w:t>Impression de matériel de formation</w:t>
      </w:r>
    </w:p>
    <w:p>
      <w:pPr>
        <w:pStyle w:val="ListBullet3"/>
        <w:numPr>
          <w:ilvl w:val="0"/>
          <w:numId w:val="2"/>
        </w:numPr>
        <w:spacing w:before="0" w:after="0"/>
        <w:rPr/>
      </w:pPr>
      <w:r>
        <w:rPr/>
        <w:t>Événements sociaux (réception de bienvenue, dîner de célébration, visite culturelle, etc.)</w:t>
      </w:r>
    </w:p>
    <w:p>
      <w:pPr>
        <w:pStyle w:val="ListBullet3"/>
        <w:numPr>
          <w:ilvl w:val="0"/>
          <w:numId w:val="2"/>
        </w:numPr>
        <w:spacing w:before="0" w:after="0"/>
        <w:rPr/>
      </w:pPr>
      <w:r>
        <w:rPr/>
        <w:t>Support technique : qui peut inclure un soutien pour la conception de matériel de formation ou d’un site Web, l’hébergement d’un système de gestion de l’apprentissage (LMS), la fourniture de soutien informatique pendant la formation, etc.</w:t>
      </w:r>
    </w:p>
    <w:p>
      <w:pPr>
        <w:pStyle w:val="ListBullet3"/>
        <w:numPr>
          <w:ilvl w:val="0"/>
          <w:numId w:val="2"/>
        </w:numPr>
        <w:spacing w:before="0" w:after="0"/>
        <w:rPr/>
      </w:pPr>
      <w:r>
        <w:rPr/>
        <w:t>Frais pour les facilitateurs (voyage, allocation, logement, honoraires)</w:t>
      </w:r>
    </w:p>
    <w:p>
      <w:pPr>
        <w:pStyle w:val="ListBullet3"/>
        <w:numPr>
          <w:ilvl w:val="0"/>
          <w:numId w:val="2"/>
        </w:numPr>
        <w:spacing w:before="0" w:after="0"/>
        <w:rPr/>
      </w:pPr>
      <w:r>
        <w:rPr/>
        <w:t>Frais pour les participants (voyage, argent de poche, hébergement)</w:t>
      </w:r>
    </w:p>
    <w:p>
      <w:pPr>
        <w:pStyle w:val="Normal"/>
        <w:spacing w:lineRule="auto" w:line="276"/>
        <w:rPr>
          <w:sz w:val="24"/>
          <w:szCs w:val="24"/>
          <w:lang w:val="fr-FR"/>
        </w:rPr>
      </w:pPr>
      <w:r>
        <w:rPr>
          <w:sz w:val="24"/>
          <w:szCs w:val="24"/>
          <w:lang w:val="fr-FR"/>
        </w:rPr>
      </w:r>
    </w:p>
    <w:p>
      <w:pPr>
        <w:pStyle w:val="Normal"/>
        <w:spacing w:lineRule="auto" w:line="276"/>
        <w:rPr>
          <w:lang w:val="fr-FR"/>
        </w:rPr>
      </w:pPr>
      <w:r>
        <w:rPr>
          <w:sz w:val="24"/>
          <w:szCs w:val="24"/>
          <w:lang w:val="fr-FR"/>
        </w:rPr>
        <w:t>Les revenus peuvent provenir de :</w:t>
      </w:r>
    </w:p>
    <w:p>
      <w:pPr>
        <w:pStyle w:val="ListBullet3"/>
        <w:numPr>
          <w:ilvl w:val="0"/>
          <w:numId w:val="2"/>
        </w:numPr>
        <w:spacing w:before="0" w:after="0"/>
        <w:rPr/>
      </w:pPr>
      <w:r>
        <w:rPr/>
        <w:t>Gouvernement</w:t>
      </w:r>
    </w:p>
    <w:p>
      <w:pPr>
        <w:pStyle w:val="ListBullet3"/>
        <w:numPr>
          <w:ilvl w:val="0"/>
          <w:numId w:val="2"/>
        </w:numPr>
        <w:spacing w:before="0" w:after="0"/>
        <w:rPr/>
      </w:pPr>
      <w:r>
        <w:rPr/>
        <w:t>Budget de l’établissement de formation</w:t>
      </w:r>
    </w:p>
    <w:p>
      <w:pPr>
        <w:pStyle w:val="ListBullet3"/>
        <w:numPr>
          <w:ilvl w:val="0"/>
          <w:numId w:val="2"/>
        </w:numPr>
        <w:spacing w:before="0" w:after="0"/>
        <w:rPr/>
      </w:pPr>
      <w:r>
        <w:rPr/>
        <w:t>Frais de scolarité</w:t>
      </w:r>
    </w:p>
    <w:p>
      <w:pPr>
        <w:pStyle w:val="ListBullet3"/>
        <w:numPr>
          <w:ilvl w:val="0"/>
          <w:numId w:val="2"/>
        </w:numPr>
        <w:rPr/>
      </w:pPr>
      <w:r>
        <w:rPr/>
        <w:t>Sponsors</w:t>
      </w:r>
    </w:p>
    <w:p>
      <w:pPr>
        <w:pStyle w:val="Normal"/>
        <w:spacing w:lineRule="auto" w:line="276"/>
        <w:rPr>
          <w:sz w:val="24"/>
          <w:szCs w:val="24"/>
          <w:lang w:val="fr-FR"/>
        </w:rPr>
      </w:pPr>
      <w:r>
        <w:rPr>
          <w:sz w:val="24"/>
          <w:szCs w:val="24"/>
          <w:lang w:val="fr-FR"/>
        </w:rPr>
      </w:r>
    </w:p>
    <w:p>
      <w:pPr>
        <w:pStyle w:val="Normal"/>
        <w:spacing w:lineRule="auto" w:line="276"/>
        <w:rPr>
          <w:rFonts w:ascii="PT Sans Narrow" w:hAnsi="PT Sans Narrow" w:eastAsia="Times New Roman" w:cs="Arial"/>
          <w:bCs/>
          <w:color w:val="FF6600"/>
          <w:sz w:val="28"/>
          <w:szCs w:val="28"/>
          <w:lang w:val="fr-FR" w:eastAsia="zh-CN" w:bidi="ar-SA"/>
        </w:rPr>
      </w:pPr>
      <w:r>
        <w:rPr>
          <w:rFonts w:eastAsia="Times New Roman" w:cs="Arial" w:ascii="PT Sans Narrow" w:hAnsi="PT Sans Narrow"/>
          <w:bCs/>
          <w:color w:val="FF6600"/>
          <w:sz w:val="28"/>
          <w:szCs w:val="28"/>
          <w:lang w:val="fr-FR" w:eastAsia="zh-CN" w:bidi="ar-SA"/>
        </w:rPr>
        <w:t>Annoncer l’événement de formation</w:t>
      </w:r>
    </w:p>
    <w:p>
      <w:pPr>
        <w:pStyle w:val="Normal"/>
        <w:spacing w:lineRule="auto" w:line="276"/>
        <w:rPr>
          <w:lang w:val="fr-FR"/>
        </w:rPr>
      </w:pPr>
      <w:r>
        <w:rPr>
          <w:sz w:val="24"/>
          <w:szCs w:val="24"/>
          <w:lang w:val="fr-FR"/>
        </w:rPr>
        <w:t>L’annonce de la formation doit inclure toutes les informations de base qui aideront les participants potentiels à envisager de postuler. Une liste générale est fournie ci-dessous. La procédure de candidature et les critères de sélection doivent également être clairement décrits et des formulaires de candidature doivent être fournis le cas échéant.</w:t>
      </w:r>
    </w:p>
    <w:p>
      <w:pPr>
        <w:pStyle w:val="Normal"/>
        <w:spacing w:lineRule="auto" w:line="276"/>
        <w:rPr>
          <w:sz w:val="24"/>
          <w:szCs w:val="24"/>
          <w:lang w:val="fr-FR"/>
        </w:rPr>
      </w:pPr>
      <w:r>
        <w:rPr>
          <w:sz w:val="24"/>
          <w:szCs w:val="24"/>
          <w:lang w:val="fr-FR"/>
        </w:rPr>
      </w:r>
    </w:p>
    <w:p>
      <w:pPr>
        <w:pStyle w:val="Normal"/>
        <w:spacing w:lineRule="auto" w:line="276"/>
        <w:rPr>
          <w:lang w:val="fr-FR"/>
        </w:rPr>
      </w:pPr>
      <w:r>
        <w:rPr>
          <w:sz w:val="24"/>
          <w:szCs w:val="24"/>
          <w:lang w:val="fr-FR"/>
        </w:rPr>
        <w:t>Les informations de cours doivent inclure :</w:t>
      </w:r>
    </w:p>
    <w:p>
      <w:pPr>
        <w:pStyle w:val="Puce1"/>
        <w:numPr>
          <w:ilvl w:val="0"/>
          <w:numId w:val="2"/>
        </w:numPr>
        <w:rPr/>
      </w:pPr>
      <w:r>
        <w:rPr/>
        <w:t>Aperçu du contenu et des objectifs de la formation</w:t>
      </w:r>
    </w:p>
    <w:p>
      <w:pPr>
        <w:pStyle w:val="Puce1"/>
        <w:numPr>
          <w:ilvl w:val="0"/>
          <w:numId w:val="2"/>
        </w:numPr>
        <w:rPr/>
      </w:pPr>
      <w:r>
        <w:rPr/>
        <w:t>acquis attendus de l’apprentissage</w:t>
      </w:r>
    </w:p>
    <w:p>
      <w:pPr>
        <w:pStyle w:val="Puce1"/>
        <w:numPr>
          <w:ilvl w:val="0"/>
          <w:numId w:val="2"/>
        </w:numPr>
        <w:rPr/>
      </w:pPr>
      <w:r>
        <w:rPr/>
        <w:t>Cadres de compétences à traiter (le cas échéant)</w:t>
      </w:r>
    </w:p>
    <w:p>
      <w:pPr>
        <w:pStyle w:val="Puce1"/>
        <w:numPr>
          <w:ilvl w:val="0"/>
          <w:numId w:val="2"/>
        </w:numPr>
        <w:rPr/>
      </w:pPr>
      <w:r>
        <w:rPr/>
        <w:t>Dates</w:t>
      </w:r>
    </w:p>
    <w:p>
      <w:pPr>
        <w:pStyle w:val="Puce1"/>
        <w:numPr>
          <w:ilvl w:val="0"/>
          <w:numId w:val="2"/>
        </w:numPr>
        <w:rPr/>
      </w:pPr>
      <w:r>
        <w:rPr/>
        <w:t>Lieu</w:t>
      </w:r>
    </w:p>
    <w:p>
      <w:pPr>
        <w:pStyle w:val="Puce1"/>
        <w:numPr>
          <w:ilvl w:val="0"/>
          <w:numId w:val="2"/>
        </w:numPr>
        <w:rPr/>
      </w:pPr>
      <w:r>
        <w:rPr/>
        <w:t>Langue</w:t>
      </w:r>
    </w:p>
    <w:p>
      <w:pPr>
        <w:pStyle w:val="Puce1"/>
        <w:numPr>
          <w:ilvl w:val="0"/>
          <w:numId w:val="2"/>
        </w:numPr>
        <w:rPr/>
      </w:pPr>
      <w:r>
        <w:rPr/>
        <w:t>Public (y compris les pré-requis, le cas échéant)</w:t>
      </w:r>
    </w:p>
    <w:p>
      <w:pPr>
        <w:pStyle w:val="Puce1"/>
        <w:numPr>
          <w:ilvl w:val="0"/>
          <w:numId w:val="2"/>
        </w:numPr>
        <w:rPr/>
      </w:pPr>
      <w:r>
        <w:rPr/>
        <w:t>Frais d’inscription et soutien financier (le cas échéant)</w:t>
      </w:r>
    </w:p>
    <w:p>
      <w:pPr>
        <w:pStyle w:val="Puce1"/>
        <w:numPr>
          <w:ilvl w:val="0"/>
          <w:numId w:val="2"/>
        </w:numPr>
        <w:rPr/>
      </w:pPr>
      <w:r>
        <w:rPr/>
        <w:t>Date limite d’inscription (le cas échéant)</w:t>
      </w:r>
    </w:p>
    <w:p>
      <w:pPr>
        <w:pStyle w:val="Puce1"/>
        <w:numPr>
          <w:ilvl w:val="0"/>
          <w:numId w:val="2"/>
        </w:numPr>
        <w:rPr/>
      </w:pPr>
      <w:r>
        <w:rPr/>
        <w:t>Personne à contacter (nom et coordonnées)</w:t>
      </w:r>
    </w:p>
    <w:p>
      <w:pPr>
        <w:pStyle w:val="Normal"/>
        <w:spacing w:lineRule="auto" w:line="276"/>
        <w:rPr>
          <w:sz w:val="24"/>
          <w:szCs w:val="24"/>
          <w:lang w:val="fr-FR"/>
        </w:rPr>
      </w:pPr>
      <w:r>
        <w:rPr>
          <w:sz w:val="24"/>
          <w:szCs w:val="24"/>
          <w:lang w:val="fr-FR"/>
        </w:rPr>
      </w:r>
    </w:p>
    <w:p>
      <w:pPr>
        <w:pStyle w:val="Normal"/>
        <w:spacing w:lineRule="auto" w:line="276"/>
        <w:rPr>
          <w:rFonts w:ascii="PT Sans Narrow" w:hAnsi="PT Sans Narrow" w:eastAsia="Times New Roman" w:cs="Arial"/>
          <w:bCs/>
          <w:color w:val="FF6600"/>
          <w:sz w:val="28"/>
          <w:szCs w:val="28"/>
          <w:lang w:val="fr-FR" w:eastAsia="zh-CN" w:bidi="ar-SA"/>
        </w:rPr>
      </w:pPr>
      <w:r>
        <w:rPr>
          <w:rFonts w:eastAsia="Times New Roman" w:cs="Arial" w:ascii="PT Sans Narrow" w:hAnsi="PT Sans Narrow"/>
          <w:bCs/>
          <w:color w:val="FF6600"/>
          <w:sz w:val="28"/>
          <w:szCs w:val="28"/>
          <w:lang w:val="fr-FR" w:eastAsia="zh-CN" w:bidi="ar-SA"/>
        </w:rPr>
        <w:t>Maintenir le contact avec les facilitateurs</w:t>
      </w:r>
    </w:p>
    <w:p>
      <w:pPr>
        <w:pStyle w:val="Normal"/>
        <w:spacing w:lineRule="auto" w:line="276"/>
        <w:rPr/>
      </w:pPr>
      <w:r>
        <w:rPr>
          <w:sz w:val="24"/>
          <w:szCs w:val="24"/>
          <w:lang w:val="fr-FR"/>
        </w:rPr>
        <w:t>Maintenez le contact avec les facilitateurs pour vous assurer qu’ils sont au courant du programme et de l’organisation. Assurez-vous que leurs exigences en matière d’équipement et de soutien sont identifiées et fournies à temps. Avoir des réunions avec les facilitateurs avant l’événement de formation sont des occasions extrêmement précieuses pour discuter de tout soutien nécessaire avant et pendant la formation (par exemple, organiser du matériel de formation sur le site Web, imprimer des documents). Définir des dates limites pour la production des supports de formation est essentiel.</w:t>
      </w:r>
    </w:p>
    <w:p>
      <w:pPr>
        <w:pStyle w:val="Normal"/>
        <w:spacing w:lineRule="auto" w:line="276"/>
        <w:rPr>
          <w:sz w:val="24"/>
          <w:szCs w:val="24"/>
          <w:lang w:val="fr-FR"/>
        </w:rPr>
      </w:pPr>
      <w:r>
        <w:rPr>
          <w:sz w:val="24"/>
          <w:szCs w:val="24"/>
          <w:lang w:val="fr-FR"/>
        </w:rPr>
      </w:r>
    </w:p>
    <w:p>
      <w:pPr>
        <w:pStyle w:val="Normal"/>
        <w:spacing w:lineRule="auto" w:line="276"/>
        <w:rPr/>
      </w:pPr>
      <w:r>
        <w:rPr>
          <w:rFonts w:eastAsia="Times New Roman" w:cs="Arial" w:ascii="PT Sans Narrow" w:hAnsi="PT Sans Narrow"/>
          <w:bCs/>
          <w:color w:val="FF6600"/>
          <w:sz w:val="28"/>
          <w:szCs w:val="28"/>
          <w:lang w:val="fr-FR" w:eastAsia="zh-CN" w:bidi="ar-SA"/>
        </w:rPr>
        <w:t>Préparer le « dossier d’information »</w:t>
      </w:r>
    </w:p>
    <w:p>
      <w:pPr>
        <w:pStyle w:val="Normal"/>
        <w:spacing w:lineRule="auto" w:line="276"/>
        <w:rPr/>
      </w:pPr>
      <w:r>
        <w:rPr>
          <w:sz w:val="24"/>
          <w:szCs w:val="24"/>
          <w:lang w:val="fr-FR"/>
        </w:rPr>
        <w:t xml:space="preserve">Préparer et distribuer le dossier d’information aux participants. Il peut être joint à la lettre d’acceptation et être également disponible sur le site du cours (le cas échéant). </w:t>
      </w:r>
    </w:p>
    <w:p>
      <w:pPr>
        <w:pStyle w:val="Normal"/>
        <w:spacing w:lineRule="auto" w:line="276"/>
        <w:rPr/>
      </w:pPr>
      <w:r>
        <w:rPr>
          <w:sz w:val="24"/>
          <w:szCs w:val="24"/>
          <w:lang w:val="fr-FR"/>
        </w:rPr>
        <w:t>Les informations importantes à inclure sont :</w:t>
      </w:r>
    </w:p>
    <w:p>
      <w:pPr>
        <w:pStyle w:val="ListBullet3"/>
        <w:numPr>
          <w:ilvl w:val="0"/>
          <w:numId w:val="2"/>
        </w:numPr>
        <w:spacing w:before="0" w:after="0"/>
        <w:rPr/>
      </w:pPr>
      <w:r>
        <w:rPr/>
        <w:t>Adresse du lieu de formation</w:t>
      </w:r>
    </w:p>
    <w:p>
      <w:pPr>
        <w:pStyle w:val="ListBullet3"/>
        <w:numPr>
          <w:ilvl w:val="0"/>
          <w:numId w:val="2"/>
        </w:numPr>
        <w:spacing w:before="0" w:after="0"/>
        <w:rPr/>
      </w:pPr>
      <w:r>
        <w:rPr/>
        <w:t>Comment y arriver au</w:t>
      </w:r>
    </w:p>
    <w:p>
      <w:pPr>
        <w:pStyle w:val="ListBullet3"/>
        <w:numPr>
          <w:ilvl w:val="0"/>
          <w:numId w:val="2"/>
        </w:numPr>
        <w:spacing w:before="0" w:after="0"/>
        <w:rPr/>
      </w:pPr>
      <w:r>
        <w:rPr/>
        <w:t>Informations sur le transport</w:t>
      </w:r>
    </w:p>
    <w:p>
      <w:pPr>
        <w:pStyle w:val="ListBullet3"/>
        <w:numPr>
          <w:ilvl w:val="0"/>
          <w:numId w:val="2"/>
        </w:numPr>
        <w:spacing w:before="0" w:after="0"/>
        <w:rPr/>
      </w:pPr>
      <w:r>
        <w:rPr/>
        <w:t>Hébergement</w:t>
      </w:r>
    </w:p>
    <w:p>
      <w:pPr>
        <w:pStyle w:val="ListBullet3"/>
        <w:numPr>
          <w:ilvl w:val="0"/>
          <w:numId w:val="2"/>
        </w:numPr>
        <w:spacing w:before="0" w:after="0"/>
        <w:rPr/>
      </w:pPr>
      <w:r>
        <w:rPr/>
        <w:t>Informations sur les visas</w:t>
      </w:r>
    </w:p>
    <w:p>
      <w:pPr>
        <w:pStyle w:val="ListBullet3"/>
        <w:numPr>
          <w:ilvl w:val="0"/>
          <w:numId w:val="2"/>
        </w:numPr>
        <w:spacing w:before="0" w:after="0"/>
        <w:rPr/>
      </w:pPr>
      <w:r>
        <w:rPr/>
        <w:t>Données climatiques</w:t>
      </w:r>
    </w:p>
    <w:p>
      <w:pPr>
        <w:pStyle w:val="ListBullet3"/>
        <w:numPr>
          <w:ilvl w:val="0"/>
          <w:numId w:val="2"/>
        </w:numPr>
        <w:spacing w:before="0" w:after="0"/>
        <w:rPr/>
      </w:pPr>
      <w:r>
        <w:rPr/>
        <w:t>Informations sur la devise locale</w:t>
      </w:r>
    </w:p>
    <w:p>
      <w:pPr>
        <w:pStyle w:val="ListBullet3"/>
        <w:numPr>
          <w:ilvl w:val="0"/>
          <w:numId w:val="2"/>
        </w:numPr>
        <w:spacing w:before="0" w:after="0"/>
        <w:rPr/>
      </w:pPr>
      <w:r>
        <w:rPr/>
        <w:t>Assurances</w:t>
      </w:r>
    </w:p>
    <w:p>
      <w:pPr>
        <w:pStyle w:val="ListBullet3"/>
        <w:numPr>
          <w:ilvl w:val="0"/>
          <w:numId w:val="2"/>
        </w:numPr>
        <w:spacing w:before="0" w:after="0"/>
        <w:rPr/>
      </w:pPr>
      <w:r>
        <w:rPr/>
        <w:t>Électricité et forme des prises</w:t>
      </w:r>
    </w:p>
    <w:p>
      <w:pPr>
        <w:pStyle w:val="ListBullet3"/>
        <w:numPr>
          <w:ilvl w:val="0"/>
          <w:numId w:val="2"/>
        </w:numPr>
        <w:spacing w:before="0" w:after="0"/>
        <w:rPr/>
      </w:pPr>
      <w:r>
        <w:rPr/>
        <w:t>Numéros d’urgence locaux</w:t>
      </w:r>
    </w:p>
    <w:p>
      <w:pPr>
        <w:pStyle w:val="Normal"/>
        <w:spacing w:lineRule="auto" w:line="276"/>
        <w:rPr>
          <w:sz w:val="24"/>
          <w:szCs w:val="24"/>
          <w:lang w:val="fr-FR"/>
        </w:rPr>
      </w:pPr>
      <w:r>
        <w:rPr>
          <w:sz w:val="24"/>
          <w:szCs w:val="24"/>
          <w:lang w:val="fr-FR"/>
        </w:rPr>
      </w:r>
    </w:p>
    <w:p>
      <w:pPr>
        <w:pStyle w:val="Normal"/>
        <w:spacing w:lineRule="auto" w:line="276"/>
        <w:rPr>
          <w:rFonts w:ascii="PT Sans Narrow" w:hAnsi="PT Sans Narrow" w:eastAsia="Times New Roman" w:cs="Arial"/>
          <w:bCs/>
          <w:color w:val="FF6600"/>
          <w:sz w:val="28"/>
          <w:szCs w:val="28"/>
          <w:lang w:val="fr-FR" w:eastAsia="zh-CN" w:bidi="ar-SA"/>
        </w:rPr>
      </w:pPr>
      <w:r>
        <w:rPr>
          <w:rFonts w:eastAsia="Times New Roman" w:cs="Arial" w:ascii="PT Sans Narrow" w:hAnsi="PT Sans Narrow"/>
          <w:bCs/>
          <w:color w:val="FF6600"/>
          <w:sz w:val="28"/>
          <w:szCs w:val="28"/>
          <w:lang w:val="fr-FR" w:eastAsia="zh-CN" w:bidi="ar-SA"/>
        </w:rPr>
        <w:t>Créer le programme de cours</w:t>
      </w:r>
    </w:p>
    <w:p>
      <w:pPr>
        <w:pStyle w:val="Normal"/>
        <w:spacing w:lineRule="auto" w:line="276"/>
        <w:rPr/>
      </w:pPr>
      <w:r>
        <w:rPr>
          <w:sz w:val="24"/>
          <w:szCs w:val="24"/>
          <w:lang w:val="fr-FR"/>
        </w:rPr>
        <w:t>Le programme du cours est essentiellement l’emploi du temps de la formation. Il peut aussi  être joint à la lettre d’acceptation et être également disponible sur le site du cours (le cas échéant). Le document peut inclure :</w:t>
      </w:r>
    </w:p>
    <w:p>
      <w:pPr>
        <w:pStyle w:val="ListBullet3"/>
        <w:numPr>
          <w:ilvl w:val="0"/>
          <w:numId w:val="2"/>
        </w:numPr>
        <w:spacing w:before="0" w:after="0"/>
        <w:rPr/>
      </w:pPr>
      <w:r>
        <w:rPr/>
        <w:t>Date / heure de l’inscription, cérémonie d’ouverture et de clôture (le cas échéant)</w:t>
      </w:r>
    </w:p>
    <w:p>
      <w:pPr>
        <w:pStyle w:val="ListBullet3"/>
        <w:numPr>
          <w:ilvl w:val="0"/>
          <w:numId w:val="2"/>
        </w:numPr>
        <w:spacing w:before="0" w:after="0"/>
        <w:rPr/>
      </w:pPr>
      <w:r>
        <w:rPr/>
        <w:t>Plages de formation – c’est la partie principale du programme</w:t>
      </w:r>
    </w:p>
    <w:p>
      <w:pPr>
        <w:pStyle w:val="ListBullet3"/>
        <w:numPr>
          <w:ilvl w:val="0"/>
          <w:numId w:val="2"/>
        </w:numPr>
        <w:spacing w:before="0" w:after="0"/>
        <w:rPr/>
      </w:pPr>
      <w:r>
        <w:rPr/>
        <w:t>Pauses Café et déjeuner</w:t>
      </w:r>
    </w:p>
    <w:p>
      <w:pPr>
        <w:pStyle w:val="ListBullet3"/>
        <w:numPr>
          <w:ilvl w:val="0"/>
          <w:numId w:val="2"/>
        </w:numPr>
        <w:spacing w:before="0" w:after="0"/>
        <w:rPr/>
      </w:pPr>
      <w:r>
        <w:rPr/>
        <w:t>Le cas échéant, des créneaux horaires pour des activités techniques et culturelles</w:t>
      </w:r>
    </w:p>
    <w:p>
      <w:pPr>
        <w:pStyle w:val="Normal"/>
        <w:spacing w:lineRule="auto" w:line="276"/>
        <w:rPr>
          <w:sz w:val="24"/>
          <w:szCs w:val="24"/>
          <w:lang w:val="fr-FR"/>
        </w:rPr>
      </w:pPr>
      <w:r>
        <w:rPr>
          <w:sz w:val="24"/>
          <w:szCs w:val="24"/>
          <w:lang w:val="fr-FR"/>
        </w:rPr>
      </w:r>
    </w:p>
    <w:p>
      <w:pPr>
        <w:pStyle w:val="Normal"/>
        <w:spacing w:lineRule="auto" w:line="276"/>
        <w:rPr>
          <w:rFonts w:ascii="PT Sans Narrow" w:hAnsi="PT Sans Narrow" w:eastAsia="Times New Roman" w:cs="Arial"/>
          <w:bCs/>
          <w:color w:val="FF6600"/>
          <w:sz w:val="28"/>
          <w:szCs w:val="28"/>
          <w:lang w:val="fr-FR" w:eastAsia="zh-CN" w:bidi="ar-SA"/>
        </w:rPr>
      </w:pPr>
      <w:r>
        <w:rPr>
          <w:rFonts w:eastAsia="Times New Roman" w:cs="Arial" w:ascii="PT Sans Narrow" w:hAnsi="PT Sans Narrow"/>
          <w:bCs/>
          <w:color w:val="FF6600"/>
          <w:sz w:val="28"/>
          <w:szCs w:val="28"/>
          <w:lang w:val="fr-FR" w:eastAsia="zh-CN" w:bidi="ar-SA"/>
        </w:rPr>
        <w:t>Sélection des participants</w:t>
      </w:r>
    </w:p>
    <w:p>
      <w:pPr>
        <w:pStyle w:val="Normal"/>
        <w:spacing w:lineRule="auto" w:line="276"/>
        <w:rPr>
          <w:lang w:val="fr-FR"/>
        </w:rPr>
      </w:pPr>
      <w:r>
        <w:rPr>
          <w:sz w:val="24"/>
          <w:szCs w:val="24"/>
          <w:lang w:val="fr-FR"/>
        </w:rPr>
        <w:t>Sur la base des critères de sélection décidés, une réunion du jury de sélection devrait être organisée avec les personnes concernées. Outre les qualifications des candidats, les critères de sélection peuvent inclure l’équilibre géographique, l’équilibre entre les sexes, la priorité des candidats des pays les moins avancés ou des pays ayant besoin de cette formation spéciale.</w:t>
      </w:r>
    </w:p>
    <w:p>
      <w:pPr>
        <w:pStyle w:val="Normal"/>
        <w:spacing w:lineRule="auto" w:line="276"/>
        <w:rPr>
          <w:sz w:val="24"/>
          <w:szCs w:val="24"/>
          <w:lang w:val="fr-FR"/>
        </w:rPr>
      </w:pPr>
      <w:r>
        <w:rPr>
          <w:sz w:val="24"/>
          <w:szCs w:val="24"/>
          <w:lang w:val="fr-FR"/>
        </w:rPr>
      </w:r>
    </w:p>
    <w:p>
      <w:pPr>
        <w:pStyle w:val="Normal"/>
        <w:spacing w:lineRule="auto" w:line="276"/>
        <w:rPr>
          <w:rFonts w:ascii="PT Sans Narrow" w:hAnsi="PT Sans Narrow" w:eastAsia="Times New Roman" w:cs="Arial"/>
          <w:bCs/>
          <w:color w:val="FF6600"/>
          <w:sz w:val="28"/>
          <w:szCs w:val="28"/>
          <w:lang w:val="fr-FR" w:eastAsia="zh-CN" w:bidi="ar-SA"/>
        </w:rPr>
      </w:pPr>
      <w:r>
        <w:rPr>
          <w:rFonts w:eastAsia="Times New Roman" w:cs="Arial" w:ascii="PT Sans Narrow" w:hAnsi="PT Sans Narrow"/>
          <w:bCs/>
          <w:color w:val="FF6600"/>
          <w:sz w:val="28"/>
          <w:szCs w:val="28"/>
          <w:lang w:val="fr-FR" w:eastAsia="zh-CN" w:bidi="ar-SA"/>
        </w:rPr>
        <w:t>Envoyer des notifications d’acceptation / refus</w:t>
      </w:r>
    </w:p>
    <w:p>
      <w:pPr>
        <w:pStyle w:val="Normal"/>
        <w:spacing w:lineRule="auto" w:line="276"/>
        <w:rPr/>
      </w:pPr>
      <w:r>
        <w:rPr>
          <w:sz w:val="24"/>
          <w:szCs w:val="24"/>
          <w:lang w:val="fr-FR"/>
        </w:rPr>
        <w:t>La notification d’acceptation / de refus doit être envoyée à tous les demandeurs (et / ou à leurs représentants permanents (PR), à leur directeur ou à leurs responsables, le cas échéant).</w:t>
      </w:r>
    </w:p>
    <w:p>
      <w:pPr>
        <w:pStyle w:val="Normal"/>
        <w:spacing w:lineRule="auto" w:line="276"/>
        <w:rPr/>
      </w:pPr>
      <w:r>
        <w:rPr>
          <w:sz w:val="24"/>
          <w:szCs w:val="24"/>
          <w:lang w:val="fr-FR"/>
        </w:rPr>
        <w:t>Les lettres de refus doivent expliquer la raison pour laquelle le candidat n’a pu être retenu pour l’événement de formation à cette occurrence. C’est une lettre délicate où les mots doivent être choisis très soigneusement. Il est important de ne pas offenser les candidats et leurs pays.</w:t>
      </w:r>
    </w:p>
    <w:p>
      <w:pPr>
        <w:pStyle w:val="Normal"/>
        <w:spacing w:lineRule="auto" w:line="276"/>
        <w:rPr/>
      </w:pPr>
      <w:r>
        <w:rPr>
          <w:sz w:val="24"/>
          <w:szCs w:val="24"/>
          <w:lang w:val="fr-FR"/>
        </w:rPr>
        <w:t>Les lettres d’acceptation doivent inclure :</w:t>
      </w:r>
    </w:p>
    <w:p>
      <w:pPr>
        <w:pStyle w:val="ListBullet3"/>
        <w:numPr>
          <w:ilvl w:val="0"/>
          <w:numId w:val="2"/>
        </w:numPr>
        <w:spacing w:before="0" w:after="0"/>
        <w:rPr/>
      </w:pPr>
      <w:r>
        <w:rPr/>
        <w:t>Réitération des dates et lieu de l’événement de formation</w:t>
      </w:r>
    </w:p>
    <w:p>
      <w:pPr>
        <w:pStyle w:val="ListBullet3"/>
        <w:numPr>
          <w:ilvl w:val="0"/>
          <w:numId w:val="2"/>
        </w:numPr>
        <w:spacing w:before="0" w:after="0"/>
        <w:rPr/>
      </w:pPr>
      <w:r>
        <w:rPr/>
        <w:t>Confirmation d’acceptation de leur demande</w:t>
      </w:r>
    </w:p>
    <w:p>
      <w:pPr>
        <w:pStyle w:val="ListBullet3"/>
        <w:numPr>
          <w:ilvl w:val="0"/>
          <w:numId w:val="2"/>
        </w:numPr>
        <w:spacing w:before="0" w:after="0"/>
        <w:rPr/>
      </w:pPr>
      <w:r>
        <w:rPr/>
        <w:t>Conditions financières d’acceptation (par exemple, voyage, hébergement, frais de scolarité, repas, argent de poche, etc.)</w:t>
      </w:r>
    </w:p>
    <w:p>
      <w:pPr>
        <w:pStyle w:val="ListBullet3"/>
        <w:numPr>
          <w:ilvl w:val="0"/>
          <w:numId w:val="2"/>
        </w:numPr>
        <w:spacing w:before="0" w:after="0"/>
        <w:rPr/>
      </w:pPr>
      <w:r>
        <w:rPr/>
        <w:t>Déclaration de soutien au visa en cas de besoin</w:t>
      </w:r>
    </w:p>
    <w:p>
      <w:pPr>
        <w:pStyle w:val="ListBullet3"/>
        <w:numPr>
          <w:ilvl w:val="0"/>
          <w:numId w:val="2"/>
        </w:numPr>
        <w:spacing w:before="0" w:after="0"/>
        <w:rPr/>
      </w:pPr>
      <w:r>
        <w:rPr/>
        <w:t>Demande de confirmation de la participation des participants sélectionnés</w:t>
      </w:r>
    </w:p>
    <w:p>
      <w:pPr>
        <w:pStyle w:val="Normal"/>
        <w:spacing w:lineRule="auto" w:line="276"/>
        <w:rPr>
          <w:sz w:val="24"/>
          <w:szCs w:val="24"/>
          <w:lang w:val="fr-FR"/>
        </w:rPr>
      </w:pPr>
      <w:r>
        <w:rPr>
          <w:sz w:val="24"/>
          <w:szCs w:val="24"/>
          <w:lang w:val="fr-FR"/>
        </w:rPr>
      </w:r>
    </w:p>
    <w:p>
      <w:pPr>
        <w:pStyle w:val="Normal"/>
        <w:spacing w:lineRule="auto" w:line="276"/>
        <w:rPr>
          <w:rFonts w:ascii="PT Sans Narrow" w:hAnsi="PT Sans Narrow" w:eastAsia="Times New Roman" w:cs="Arial"/>
          <w:bCs/>
          <w:color w:val="FF6600"/>
          <w:sz w:val="28"/>
          <w:szCs w:val="28"/>
          <w:lang w:val="fr-FR" w:eastAsia="zh-CN" w:bidi="ar-SA"/>
        </w:rPr>
      </w:pPr>
      <w:r>
        <w:rPr>
          <w:rFonts w:eastAsia="Times New Roman" w:cs="Arial" w:ascii="PT Sans Narrow" w:hAnsi="PT Sans Narrow"/>
          <w:bCs/>
          <w:color w:val="FF6600"/>
          <w:sz w:val="28"/>
          <w:szCs w:val="28"/>
          <w:lang w:val="fr-FR" w:eastAsia="zh-CN" w:bidi="ar-SA"/>
        </w:rPr>
        <w:t>Identifier les exigences techniques et organiser leur disponibilité</w:t>
      </w:r>
    </w:p>
    <w:p>
      <w:pPr>
        <w:pStyle w:val="Normal"/>
        <w:spacing w:lineRule="auto" w:line="276"/>
        <w:rPr/>
      </w:pPr>
      <w:r>
        <w:rPr>
          <w:sz w:val="24"/>
          <w:szCs w:val="24"/>
          <w:lang w:val="fr-FR"/>
        </w:rPr>
        <w:t>Déterminer quel type d’équipement sera nécessaire et où vous l’obtiendrez. Il est important de communiquer avec les facilitateurs pour connaître leurs besoins pour leurs sessions.</w:t>
      </w:r>
    </w:p>
    <w:p>
      <w:pPr>
        <w:pStyle w:val="Normal"/>
        <w:spacing w:lineRule="auto" w:line="276"/>
        <w:rPr>
          <w:lang w:val="fr-FR"/>
        </w:rPr>
      </w:pPr>
      <w:r>
        <w:rPr>
          <w:sz w:val="24"/>
          <w:szCs w:val="24"/>
          <w:lang w:val="fr-FR"/>
        </w:rPr>
        <w:t>L’équipement peut inclure :</w:t>
      </w:r>
    </w:p>
    <w:p>
      <w:pPr>
        <w:pStyle w:val="ListBullet3"/>
        <w:numPr>
          <w:ilvl w:val="0"/>
          <w:numId w:val="2"/>
        </w:numPr>
        <w:spacing w:before="0" w:after="0"/>
        <w:rPr/>
      </w:pPr>
      <w:r>
        <w:rPr/>
        <w:t>Des ordinateurs</w:t>
      </w:r>
    </w:p>
    <w:p>
      <w:pPr>
        <w:pStyle w:val="ListBullet3"/>
        <w:numPr>
          <w:ilvl w:val="0"/>
          <w:numId w:val="2"/>
        </w:numPr>
        <w:spacing w:before="0" w:after="0"/>
        <w:rPr/>
      </w:pPr>
      <w:r>
        <w:rPr/>
        <w:t>Connexion Internet</w:t>
      </w:r>
    </w:p>
    <w:p>
      <w:pPr>
        <w:pStyle w:val="ListBullet3"/>
        <w:numPr>
          <w:ilvl w:val="0"/>
          <w:numId w:val="2"/>
        </w:numPr>
        <w:spacing w:before="0" w:after="0"/>
        <w:rPr/>
      </w:pPr>
      <w:r>
        <w:rPr/>
        <w:t>Progiciels spécifiques</w:t>
      </w:r>
    </w:p>
    <w:p>
      <w:pPr>
        <w:pStyle w:val="ListBullet3"/>
        <w:numPr>
          <w:ilvl w:val="0"/>
          <w:numId w:val="2"/>
        </w:numPr>
        <w:spacing w:before="0" w:after="0"/>
        <w:rPr/>
      </w:pPr>
      <w:r>
        <w:rPr/>
        <w:t>Projecteur de données</w:t>
      </w:r>
    </w:p>
    <w:p>
      <w:pPr>
        <w:pStyle w:val="ListBullet3"/>
        <w:numPr>
          <w:ilvl w:val="0"/>
          <w:numId w:val="2"/>
        </w:numPr>
        <w:spacing w:before="0" w:after="0"/>
        <w:rPr/>
      </w:pPr>
      <w:r>
        <w:rPr/>
        <w:t>Écran</w:t>
      </w:r>
    </w:p>
    <w:p>
      <w:pPr>
        <w:pStyle w:val="ListBullet3"/>
        <w:numPr>
          <w:ilvl w:val="0"/>
          <w:numId w:val="2"/>
        </w:numPr>
        <w:spacing w:before="0" w:after="0"/>
        <w:rPr/>
      </w:pPr>
      <w:r>
        <w:rPr/>
        <w:t>Pointeur laser</w:t>
      </w:r>
    </w:p>
    <w:p>
      <w:pPr>
        <w:pStyle w:val="ListBullet3"/>
        <w:numPr>
          <w:ilvl w:val="0"/>
          <w:numId w:val="2"/>
        </w:numPr>
        <w:spacing w:before="0" w:after="0"/>
        <w:rPr/>
      </w:pPr>
      <w:r>
        <w:rPr/>
        <w:t>Microphones</w:t>
      </w:r>
    </w:p>
    <w:p>
      <w:pPr>
        <w:pStyle w:val="ListBullet3"/>
        <w:numPr>
          <w:ilvl w:val="0"/>
          <w:numId w:val="2"/>
        </w:numPr>
        <w:spacing w:before="0" w:after="0"/>
        <w:rPr/>
      </w:pPr>
      <w:r>
        <w:rPr/>
        <w:t>Casques d’écoute et box de traduction (si l’interprétation est fournie)</w:t>
      </w:r>
    </w:p>
    <w:p>
      <w:pPr>
        <w:pStyle w:val="ListBullet3"/>
        <w:numPr>
          <w:ilvl w:val="0"/>
          <w:numId w:val="2"/>
        </w:numPr>
        <w:spacing w:before="0" w:after="0"/>
        <w:rPr/>
      </w:pPr>
      <w:r>
        <w:rPr/>
        <w:t>Stylos et papier</w:t>
      </w:r>
    </w:p>
    <w:p>
      <w:pPr>
        <w:pStyle w:val="ListBullet3"/>
        <w:numPr>
          <w:ilvl w:val="0"/>
          <w:numId w:val="2"/>
        </w:numPr>
        <w:spacing w:before="0" w:after="0"/>
        <w:rPr/>
      </w:pPr>
      <w:r>
        <w:rPr/>
        <w:t>Tableau papier et marqueurs</w:t>
      </w:r>
    </w:p>
    <w:p>
      <w:pPr>
        <w:pStyle w:val="ListBullet3"/>
        <w:numPr>
          <w:ilvl w:val="0"/>
          <w:numId w:val="2"/>
        </w:numPr>
        <w:spacing w:before="0" w:after="0"/>
        <w:rPr/>
      </w:pPr>
      <w:r>
        <w:rPr/>
        <w:t>Tableau blanc / noir</w:t>
      </w:r>
    </w:p>
    <w:p>
      <w:pPr>
        <w:pStyle w:val="Normal"/>
        <w:spacing w:lineRule="auto" w:line="276"/>
        <w:rPr>
          <w:sz w:val="24"/>
          <w:szCs w:val="24"/>
          <w:lang w:val="fr-FR"/>
        </w:rPr>
      </w:pPr>
      <w:r>
        <w:rPr>
          <w:sz w:val="24"/>
          <w:szCs w:val="24"/>
          <w:lang w:val="fr-FR"/>
        </w:rPr>
      </w:r>
    </w:p>
    <w:p>
      <w:pPr>
        <w:pStyle w:val="Normal"/>
        <w:spacing w:lineRule="auto" w:line="276"/>
        <w:rPr>
          <w:rFonts w:ascii="PT Sans Narrow" w:hAnsi="PT Sans Narrow" w:eastAsia="Times New Roman" w:cs="Arial"/>
          <w:bCs/>
          <w:color w:val="FF6600"/>
          <w:sz w:val="28"/>
          <w:szCs w:val="28"/>
          <w:lang w:val="fr-FR" w:eastAsia="zh-CN" w:bidi="ar-SA"/>
        </w:rPr>
      </w:pPr>
      <w:r>
        <w:rPr>
          <w:rFonts w:eastAsia="Times New Roman" w:cs="Arial" w:ascii="PT Sans Narrow" w:hAnsi="PT Sans Narrow"/>
          <w:bCs/>
          <w:color w:val="FF6600"/>
          <w:sz w:val="28"/>
          <w:szCs w:val="28"/>
          <w:lang w:val="fr-FR" w:eastAsia="zh-CN" w:bidi="ar-SA"/>
        </w:rPr>
        <w:t>Planifier les cérémonies d’ouverture et de clôture (le cas échéant)</w:t>
      </w:r>
    </w:p>
    <w:p>
      <w:pPr>
        <w:pStyle w:val="Normal"/>
        <w:spacing w:lineRule="auto" w:line="276"/>
        <w:rPr/>
      </w:pPr>
      <w:r>
        <w:rPr>
          <w:sz w:val="24"/>
          <w:szCs w:val="24"/>
          <w:lang w:val="fr-FR"/>
        </w:rPr>
        <w:t>Selon l’importance nationale et internationale et les participants de l’événement de formation, le type d’une cérémonie d’ouverture et ses invités peut être différent. Les invitations doivent être faites bien à l’avance. Voici quelques invités possibles à considérer pour une cérémonie d’ouverture :</w:t>
      </w:r>
    </w:p>
    <w:p>
      <w:pPr>
        <w:pStyle w:val="Puce1"/>
        <w:numPr>
          <w:ilvl w:val="0"/>
          <w:numId w:val="2"/>
        </w:numPr>
        <w:rPr/>
      </w:pPr>
      <w:r>
        <w:rPr/>
        <w:t>Représentant permanent (PR) du pays auprès de l’OMM</w:t>
      </w:r>
    </w:p>
    <w:p>
      <w:pPr>
        <w:pStyle w:val="Puce1"/>
        <w:numPr>
          <w:ilvl w:val="0"/>
          <w:numId w:val="2"/>
        </w:numPr>
        <w:rPr>
          <w:lang w:val="fr-FR"/>
        </w:rPr>
      </w:pPr>
      <w:r>
        <w:rPr/>
        <w:t>Organismes de parrainage</w:t>
      </w:r>
    </w:p>
    <w:p>
      <w:pPr>
        <w:pStyle w:val="Puce1"/>
        <w:numPr>
          <w:ilvl w:val="0"/>
          <w:numId w:val="2"/>
        </w:numPr>
        <w:rPr/>
      </w:pPr>
      <w:r>
        <w:rPr/>
        <w:t>Direction de l’institution de formation</w:t>
      </w:r>
    </w:p>
    <w:p>
      <w:pPr>
        <w:pStyle w:val="Puce1"/>
        <w:numPr>
          <w:ilvl w:val="0"/>
          <w:numId w:val="2"/>
        </w:numPr>
        <w:rPr>
          <w:lang w:val="fr-FR"/>
        </w:rPr>
      </w:pPr>
      <w:r>
        <w:rPr/>
        <w:t>Autorités locales</w:t>
      </w:r>
    </w:p>
    <w:p>
      <w:pPr>
        <w:pStyle w:val="Puce1"/>
        <w:numPr>
          <w:ilvl w:val="0"/>
          <w:numId w:val="2"/>
        </w:numPr>
        <w:rPr>
          <w:lang w:val="fr-FR"/>
        </w:rPr>
      </w:pPr>
      <w:r>
        <w:rPr/>
        <w:t>Presse locale</w:t>
      </w:r>
    </w:p>
    <w:p>
      <w:pPr>
        <w:pStyle w:val="Puce1"/>
        <w:numPr>
          <w:ilvl w:val="0"/>
          <w:numId w:val="2"/>
        </w:numPr>
        <w:rPr/>
      </w:pPr>
      <w:r>
        <w:rPr/>
        <w:t>F</w:t>
      </w:r>
      <w:r>
        <w:rPr/>
        <w:t>acilitateurs</w:t>
      </w:r>
    </w:p>
    <w:p>
      <w:pPr>
        <w:pStyle w:val="Puce1"/>
        <w:numPr>
          <w:ilvl w:val="0"/>
          <w:numId w:val="2"/>
        </w:numPr>
        <w:rPr>
          <w:lang w:val="fr-FR"/>
        </w:rPr>
      </w:pPr>
      <w:r>
        <w:rPr/>
        <w:t>Participants</w:t>
      </w:r>
    </w:p>
    <w:p>
      <w:pPr>
        <w:pStyle w:val="Normal"/>
        <w:spacing w:lineRule="auto" w:line="276"/>
        <w:rPr>
          <w:sz w:val="24"/>
          <w:szCs w:val="24"/>
          <w:lang w:val="fr-FR"/>
        </w:rPr>
      </w:pPr>
      <w:r>
        <w:rPr>
          <w:sz w:val="24"/>
          <w:szCs w:val="24"/>
          <w:lang w:val="fr-FR"/>
        </w:rPr>
      </w:r>
    </w:p>
    <w:p>
      <w:pPr>
        <w:pStyle w:val="Normal"/>
        <w:spacing w:lineRule="auto" w:line="276"/>
        <w:rPr>
          <w:rFonts w:ascii="PT Sans Narrow" w:hAnsi="PT Sans Narrow" w:eastAsia="Times New Roman" w:cs="Arial"/>
          <w:bCs/>
          <w:color w:val="FF6600"/>
          <w:sz w:val="28"/>
          <w:szCs w:val="28"/>
          <w:lang w:val="fr-FR" w:eastAsia="zh-CN" w:bidi="ar-SA"/>
        </w:rPr>
      </w:pPr>
      <w:r>
        <w:rPr>
          <w:rFonts w:eastAsia="Times New Roman" w:cs="Arial" w:ascii="PT Sans Narrow" w:hAnsi="PT Sans Narrow"/>
          <w:bCs/>
          <w:color w:val="FF6600"/>
          <w:sz w:val="28"/>
          <w:szCs w:val="28"/>
          <w:lang w:val="fr-FR" w:eastAsia="zh-CN" w:bidi="ar-SA"/>
        </w:rPr>
        <w:t>Organiser des pauses et de la restauration</w:t>
      </w:r>
    </w:p>
    <w:p>
      <w:pPr>
        <w:pStyle w:val="Normal"/>
        <w:spacing w:lineRule="auto" w:line="276"/>
        <w:rPr/>
      </w:pPr>
      <w:r>
        <w:rPr>
          <w:sz w:val="24"/>
          <w:szCs w:val="24"/>
          <w:lang w:val="fr-FR"/>
        </w:rPr>
        <w:t>Il est nécessaire de s’assurer que toutes les dispositions ont été prises concernant les pauses café et les déjeuners. Si les installations n’ont pas de restauration, il serait bon de s’organiser avec une entreprise de restauration ou de décider de certains restaurants à proximité des installations, et pré-réserver des places pour le groupe, bien à l’avance. Perdre du temps en emmenant les participants dans des endroits éloignés et / ou avoir des problèmes de réservation peut affecter négativement le programme de formation.</w:t>
      </w:r>
    </w:p>
    <w:p>
      <w:pPr>
        <w:pStyle w:val="Normal"/>
        <w:spacing w:lineRule="auto" w:line="276"/>
        <w:rPr>
          <w:sz w:val="24"/>
          <w:szCs w:val="24"/>
          <w:lang w:val="fr-FR"/>
        </w:rPr>
      </w:pPr>
      <w:r>
        <w:rPr>
          <w:sz w:val="24"/>
          <w:szCs w:val="24"/>
          <w:lang w:val="fr-FR"/>
        </w:rPr>
      </w:r>
    </w:p>
    <w:p>
      <w:pPr>
        <w:pStyle w:val="Normal"/>
        <w:spacing w:lineRule="auto" w:line="276"/>
        <w:rPr>
          <w:rFonts w:ascii="PT Sans Narrow" w:hAnsi="PT Sans Narrow" w:eastAsia="Times New Roman" w:cs="Arial"/>
          <w:bCs/>
          <w:color w:val="FF6600"/>
          <w:sz w:val="28"/>
          <w:szCs w:val="28"/>
          <w:lang w:val="fr-FR" w:eastAsia="zh-CN" w:bidi="ar-SA"/>
        </w:rPr>
      </w:pPr>
      <w:r>
        <w:rPr>
          <w:rFonts w:eastAsia="Times New Roman" w:cs="Arial" w:ascii="PT Sans Narrow" w:hAnsi="PT Sans Narrow"/>
          <w:bCs/>
          <w:color w:val="FF6600"/>
          <w:sz w:val="28"/>
          <w:szCs w:val="28"/>
          <w:lang w:val="fr-FR" w:eastAsia="zh-CN" w:bidi="ar-SA"/>
        </w:rPr>
        <w:t>Organiser un hébergement</w:t>
      </w:r>
    </w:p>
    <w:p>
      <w:pPr>
        <w:pStyle w:val="Normal"/>
        <w:spacing w:lineRule="auto" w:line="276"/>
        <w:rPr/>
      </w:pPr>
      <w:r>
        <w:rPr>
          <w:sz w:val="24"/>
          <w:szCs w:val="24"/>
          <w:lang w:val="fr-FR"/>
        </w:rPr>
        <w:t>Si les installations de formation disposent également de capacités d’hébergement adéquates, les chambres et autres moyens logistiques doivent être mis en place avant l’arrivée des participants. Il est idéal de prévoir une chambre pour chaque participant. Cependant, si cela n’est pas possible, les participants doivent en être informés dès le début. Leurs accords doivent être obtenus et ils ne devraient jamais être obligés. Compte tenu de leurs différences culturelles, le sexe et la religion sont des critères importants.</w:t>
      </w:r>
    </w:p>
    <w:p>
      <w:pPr>
        <w:pStyle w:val="Normal"/>
        <w:spacing w:lineRule="auto" w:line="276"/>
        <w:rPr>
          <w:sz w:val="24"/>
          <w:szCs w:val="24"/>
          <w:lang w:val="fr-FR"/>
        </w:rPr>
      </w:pPr>
      <w:r>
        <w:rPr>
          <w:sz w:val="24"/>
          <w:szCs w:val="24"/>
          <w:lang w:val="fr-FR"/>
        </w:rPr>
      </w:r>
    </w:p>
    <w:p>
      <w:pPr>
        <w:pStyle w:val="Normal"/>
        <w:spacing w:lineRule="auto" w:line="276"/>
        <w:rPr>
          <w:rFonts w:ascii="PT Sans Narrow" w:hAnsi="PT Sans Narrow" w:eastAsia="Times New Roman" w:cs="Arial"/>
          <w:bCs/>
          <w:color w:val="FF6600"/>
          <w:sz w:val="28"/>
          <w:szCs w:val="28"/>
          <w:lang w:val="fr-FR" w:eastAsia="zh-CN" w:bidi="ar-SA"/>
        </w:rPr>
      </w:pPr>
      <w:r>
        <w:rPr>
          <w:rFonts w:eastAsia="Times New Roman" w:cs="Arial" w:ascii="PT Sans Narrow" w:hAnsi="PT Sans Narrow"/>
          <w:bCs/>
          <w:color w:val="FF6600"/>
          <w:sz w:val="28"/>
          <w:szCs w:val="28"/>
          <w:lang w:val="fr-FR" w:eastAsia="zh-CN" w:bidi="ar-SA"/>
        </w:rPr>
        <w:t>Organiser le transport</w:t>
      </w:r>
    </w:p>
    <w:p>
      <w:pPr>
        <w:pStyle w:val="Normal"/>
        <w:spacing w:lineRule="auto" w:line="276"/>
        <w:rPr/>
      </w:pPr>
      <w:r>
        <w:rPr>
          <w:sz w:val="24"/>
          <w:szCs w:val="24"/>
          <w:lang w:val="fr-FR"/>
        </w:rPr>
        <w:t>Ces arrangements peuvent inclure :</w:t>
      </w:r>
    </w:p>
    <w:p>
      <w:pPr>
        <w:pStyle w:val="Normal"/>
        <w:numPr>
          <w:ilvl w:val="0"/>
          <w:numId w:val="2"/>
        </w:numPr>
        <w:spacing w:lineRule="auto" w:line="276"/>
        <w:rPr>
          <w:lang w:val="fr-FR"/>
        </w:rPr>
      </w:pPr>
      <w:r>
        <w:rPr>
          <w:sz w:val="24"/>
          <w:szCs w:val="24"/>
          <w:lang w:val="fr-FR"/>
        </w:rPr>
        <w:t>Transferts entre l’aéroport ou la gare routière / ferroviaire et l’hébergement pour l’arrivée et le départ des participants</w:t>
      </w:r>
    </w:p>
    <w:p>
      <w:pPr>
        <w:pStyle w:val="Normal"/>
        <w:numPr>
          <w:ilvl w:val="0"/>
          <w:numId w:val="2"/>
        </w:numPr>
        <w:spacing w:lineRule="auto" w:line="276"/>
        <w:rPr/>
      </w:pPr>
      <w:r>
        <w:rPr>
          <w:sz w:val="24"/>
          <w:szCs w:val="24"/>
          <w:lang w:val="fr-FR"/>
        </w:rPr>
        <w:t>Transferts entre l’hébergement et le lieu de formation (si ce n’est pas au même endroit)</w:t>
      </w:r>
    </w:p>
    <w:p>
      <w:pPr>
        <w:pStyle w:val="Normal"/>
        <w:numPr>
          <w:ilvl w:val="0"/>
          <w:numId w:val="2"/>
        </w:numPr>
        <w:spacing w:lineRule="auto" w:line="276"/>
        <w:rPr>
          <w:lang w:val="fr-FR"/>
        </w:rPr>
      </w:pPr>
      <w:r>
        <w:rPr>
          <w:sz w:val="24"/>
          <w:szCs w:val="24"/>
          <w:lang w:val="fr-FR"/>
        </w:rPr>
        <w:t>Transferts pour des visites techniques et culturelles et des excursions (le cas échéant)</w:t>
      </w:r>
    </w:p>
    <w:p>
      <w:pPr>
        <w:pStyle w:val="Normal"/>
        <w:spacing w:lineRule="auto" w:line="276"/>
        <w:rPr>
          <w:sz w:val="24"/>
          <w:szCs w:val="24"/>
          <w:lang w:val="fr-FR"/>
        </w:rPr>
      </w:pPr>
      <w:r>
        <w:rPr>
          <w:sz w:val="24"/>
          <w:szCs w:val="24"/>
          <w:lang w:val="fr-FR"/>
        </w:rPr>
      </w:r>
    </w:p>
    <w:p>
      <w:pPr>
        <w:pStyle w:val="Normal"/>
        <w:spacing w:lineRule="auto" w:line="276"/>
        <w:rPr>
          <w:lang w:val="fr-FR"/>
        </w:rPr>
      </w:pPr>
      <w:r>
        <w:rPr>
          <w:sz w:val="24"/>
          <w:szCs w:val="24"/>
          <w:lang w:val="fr-FR"/>
        </w:rPr>
        <w:t>Selon les conditions et les accords préalables, les organisateurs peuvent prévoir des transferts entre l’aéroport ou la gare routière / ferroviaire et l’hébergement. Si tel est le cas, les organisateurs sont tenus de prendre les dispositions nécessaires en fonction des détails de voyage des participants avant leur arrivée.</w:t>
      </w:r>
    </w:p>
    <w:p>
      <w:pPr>
        <w:pStyle w:val="Normal"/>
        <w:spacing w:lineRule="auto" w:line="276"/>
        <w:rPr>
          <w:sz w:val="24"/>
          <w:szCs w:val="24"/>
          <w:lang w:val="fr-FR"/>
        </w:rPr>
      </w:pPr>
      <w:r>
        <w:rPr>
          <w:sz w:val="24"/>
          <w:szCs w:val="24"/>
          <w:lang w:val="fr-FR"/>
        </w:rPr>
      </w:r>
    </w:p>
    <w:p>
      <w:pPr>
        <w:pStyle w:val="Normal"/>
        <w:spacing w:lineRule="auto" w:line="276"/>
        <w:rPr/>
      </w:pPr>
      <w:r>
        <w:rPr>
          <w:sz w:val="24"/>
          <w:szCs w:val="24"/>
          <w:lang w:val="fr-FR"/>
        </w:rPr>
        <w:t>Si, pour une raison quelconque, l’hébergement et le lieu de formation ne se trouvent pas au même endroit, le transport entre ces deux lieux pendant la formation devrait également être organisé avant l’événement.</w:t>
      </w:r>
    </w:p>
    <w:p>
      <w:pPr>
        <w:pStyle w:val="Normal"/>
        <w:spacing w:lineRule="auto" w:line="276"/>
        <w:rPr>
          <w:sz w:val="24"/>
          <w:szCs w:val="24"/>
          <w:lang w:val="fr-FR"/>
        </w:rPr>
      </w:pPr>
      <w:r>
        <w:rPr>
          <w:sz w:val="24"/>
          <w:szCs w:val="24"/>
          <w:lang w:val="fr-FR"/>
        </w:rPr>
      </w:r>
    </w:p>
    <w:p>
      <w:pPr>
        <w:pStyle w:val="Normal"/>
        <w:spacing w:lineRule="auto" w:line="276"/>
        <w:rPr/>
      </w:pPr>
      <w:r>
        <w:rPr>
          <w:sz w:val="24"/>
          <w:szCs w:val="24"/>
          <w:lang w:val="fr-FR"/>
        </w:rPr>
        <w:t>Si le budget et le programme de formation prévoient des créneaux pour des visites et des excursions techniques / culturelles, ces dispositions devraient également être prises avant le début de l’événement, si possible. Cela devrait être coordonné avec les facilitateurs et ne pas affecter le programme de formation ni provoquer des retards.</w:t>
      </w:r>
    </w:p>
    <w:p>
      <w:pPr>
        <w:pStyle w:val="Normal"/>
        <w:spacing w:lineRule="auto" w:line="276"/>
        <w:rPr>
          <w:sz w:val="24"/>
          <w:szCs w:val="24"/>
          <w:lang w:val="fr-FR"/>
        </w:rPr>
      </w:pPr>
      <w:r>
        <w:rPr>
          <w:sz w:val="24"/>
          <w:szCs w:val="24"/>
          <w:lang w:val="fr-FR"/>
        </w:rPr>
      </w:r>
    </w:p>
    <w:p>
      <w:pPr>
        <w:pStyle w:val="Normal"/>
        <w:spacing w:lineRule="auto" w:line="276"/>
        <w:rPr>
          <w:rFonts w:ascii="PT Sans Narrow" w:hAnsi="PT Sans Narrow" w:eastAsia="Times New Roman" w:cs="Arial"/>
          <w:bCs/>
          <w:color w:val="FF6600"/>
          <w:sz w:val="28"/>
          <w:szCs w:val="28"/>
          <w:lang w:val="fr-FR" w:eastAsia="zh-CN" w:bidi="ar-SA"/>
        </w:rPr>
      </w:pPr>
      <w:r>
        <w:rPr>
          <w:rFonts w:eastAsia="Times New Roman" w:cs="Arial" w:ascii="PT Sans Narrow" w:hAnsi="PT Sans Narrow"/>
          <w:bCs/>
          <w:color w:val="FF6600"/>
          <w:sz w:val="28"/>
          <w:szCs w:val="28"/>
          <w:lang w:val="fr-FR" w:eastAsia="zh-CN" w:bidi="ar-SA"/>
        </w:rPr>
        <w:t>Écrire un guide de cours</w:t>
      </w:r>
    </w:p>
    <w:p>
      <w:pPr>
        <w:pStyle w:val="Normal"/>
        <w:spacing w:lineRule="auto" w:line="276"/>
        <w:rPr/>
      </w:pPr>
      <w:r>
        <w:rPr>
          <w:sz w:val="24"/>
          <w:szCs w:val="24"/>
          <w:lang w:val="fr-FR"/>
        </w:rPr>
        <w:t xml:space="preserve">Le guide du cours est un document important, car il explique quel type d’engagement les organisateurs et les facilitateurs attendent des participants, et aussi ce que les participants devraient s’attendre à gagner de leur pleine participation au cours. </w:t>
      </w:r>
    </w:p>
    <w:p>
      <w:pPr>
        <w:pStyle w:val="Normal"/>
        <w:spacing w:lineRule="auto" w:line="276"/>
        <w:rPr/>
      </w:pPr>
      <w:r>
        <w:rPr>
          <w:sz w:val="24"/>
          <w:szCs w:val="24"/>
          <w:lang w:val="fr-FR"/>
        </w:rPr>
        <w:t>Le guide devrait inclure :</w:t>
      </w:r>
    </w:p>
    <w:p>
      <w:pPr>
        <w:pStyle w:val="Normal"/>
        <w:numPr>
          <w:ilvl w:val="0"/>
          <w:numId w:val="2"/>
        </w:numPr>
        <w:spacing w:lineRule="auto" w:line="276"/>
        <w:rPr/>
      </w:pPr>
      <w:r>
        <w:rPr>
          <w:sz w:val="24"/>
          <w:szCs w:val="24"/>
          <w:lang w:val="fr-FR"/>
        </w:rPr>
        <w:t>Informations sur la structure du cours</w:t>
      </w:r>
    </w:p>
    <w:p>
      <w:pPr>
        <w:pStyle w:val="Normal"/>
        <w:numPr>
          <w:ilvl w:val="0"/>
          <w:numId w:val="2"/>
        </w:numPr>
        <w:spacing w:lineRule="auto" w:line="276"/>
        <w:rPr/>
      </w:pPr>
      <w:r>
        <w:rPr>
          <w:sz w:val="24"/>
          <w:szCs w:val="24"/>
          <w:lang w:val="fr-FR"/>
        </w:rPr>
        <w:t>Estimation du temps que les participants doivent consacrer à l’étude (ceci est particulièrement important pour les cours en ligne)</w:t>
      </w:r>
    </w:p>
    <w:p>
      <w:pPr>
        <w:pStyle w:val="Normal"/>
        <w:numPr>
          <w:ilvl w:val="0"/>
          <w:numId w:val="2"/>
        </w:numPr>
        <w:spacing w:lineRule="auto" w:line="276"/>
        <w:rPr>
          <w:lang w:val="fr-FR"/>
        </w:rPr>
      </w:pPr>
      <w:r>
        <w:rPr>
          <w:sz w:val="24"/>
          <w:szCs w:val="24"/>
          <w:lang w:val="fr-FR"/>
        </w:rPr>
        <w:t>Directives sur la façon dont la communication entre les facilitateurs et les participants devrait avoir lieu</w:t>
      </w:r>
    </w:p>
    <w:p>
      <w:pPr>
        <w:pStyle w:val="Normal"/>
        <w:numPr>
          <w:ilvl w:val="0"/>
          <w:numId w:val="2"/>
        </w:numPr>
        <w:spacing w:lineRule="auto" w:line="276"/>
        <w:rPr>
          <w:lang w:val="fr-FR"/>
        </w:rPr>
      </w:pPr>
      <w:r>
        <w:rPr>
          <w:sz w:val="24"/>
          <w:szCs w:val="24"/>
          <w:lang w:val="fr-FR"/>
        </w:rPr>
        <w:t>Informations sur les moyens de demander une assistance si nécessaire</w:t>
      </w:r>
    </w:p>
    <w:p>
      <w:pPr>
        <w:pStyle w:val="Normal"/>
        <w:numPr>
          <w:ilvl w:val="0"/>
          <w:numId w:val="2"/>
        </w:numPr>
        <w:spacing w:lineRule="auto" w:line="276"/>
        <w:rPr/>
      </w:pPr>
      <w:r>
        <w:rPr>
          <w:sz w:val="24"/>
          <w:szCs w:val="24"/>
          <w:lang w:val="fr-FR"/>
        </w:rPr>
        <w:t>Rappel de l’endroit où trouver l’emploi du temps de  la formation (y compris les dates limites pour les devoirs)</w:t>
      </w:r>
    </w:p>
    <w:p>
      <w:pPr>
        <w:pStyle w:val="Normal"/>
        <w:numPr>
          <w:ilvl w:val="0"/>
          <w:numId w:val="2"/>
        </w:numPr>
        <w:spacing w:lineRule="auto" w:line="276"/>
        <w:rPr>
          <w:lang w:val="fr-FR"/>
        </w:rPr>
      </w:pPr>
      <w:r>
        <w:rPr>
          <w:sz w:val="24"/>
          <w:szCs w:val="24"/>
          <w:lang w:val="fr-FR"/>
        </w:rPr>
        <w:t>Guide d’évaluation (le cas échéant), y compris des informations concernant les exigences minimales pour obtenir un certificat à la fin de la formation</w:t>
      </w:r>
    </w:p>
    <w:p>
      <w:pPr>
        <w:pStyle w:val="Normal"/>
        <w:spacing w:lineRule="auto" w:line="276"/>
        <w:rPr>
          <w:sz w:val="24"/>
          <w:szCs w:val="24"/>
          <w:lang w:val="fr-FR"/>
        </w:rPr>
      </w:pPr>
      <w:r>
        <w:rPr>
          <w:sz w:val="24"/>
          <w:szCs w:val="24"/>
          <w:lang w:val="fr-FR"/>
        </w:rPr>
      </w:r>
    </w:p>
    <w:p>
      <w:pPr>
        <w:pStyle w:val="Normal"/>
        <w:spacing w:lineRule="auto" w:line="276"/>
        <w:rPr/>
      </w:pPr>
      <w:r>
        <w:rPr>
          <w:rFonts w:eastAsia="Times New Roman" w:cs="Arial" w:ascii="PT Sans Narrow" w:hAnsi="PT Sans Narrow"/>
          <w:bCs/>
          <w:color w:val="FF6600"/>
          <w:sz w:val="28"/>
          <w:szCs w:val="28"/>
          <w:lang w:val="fr-FR" w:eastAsia="zh-CN" w:bidi="ar-SA"/>
        </w:rPr>
        <w:t>Préparer les dossiers d’accueil pour les participants (événements en classe seulement)</w:t>
      </w:r>
    </w:p>
    <w:p>
      <w:pPr>
        <w:pStyle w:val="Normal"/>
        <w:spacing w:lineRule="auto" w:line="276"/>
        <w:rPr/>
      </w:pPr>
      <w:r>
        <w:rPr>
          <w:sz w:val="24"/>
          <w:szCs w:val="24"/>
          <w:lang w:val="fr-FR"/>
        </w:rPr>
        <w:t>Ces packs individuels pour les participants doivent être préparés avant l’événement et remis lors de l’inscription ou de leur arrivée à l’établissement. Ils peuvent inclure :</w:t>
      </w:r>
    </w:p>
    <w:p>
      <w:pPr>
        <w:pStyle w:val="Normal"/>
        <w:numPr>
          <w:ilvl w:val="0"/>
          <w:numId w:val="2"/>
        </w:numPr>
        <w:spacing w:lineRule="auto" w:line="276"/>
        <w:rPr/>
      </w:pPr>
      <w:r>
        <w:rPr>
          <w:sz w:val="24"/>
          <w:szCs w:val="24"/>
          <w:lang w:val="fr-FR"/>
        </w:rPr>
        <w:t>Badges nominatifs</w:t>
      </w:r>
    </w:p>
    <w:p>
      <w:pPr>
        <w:pStyle w:val="Normal"/>
        <w:numPr>
          <w:ilvl w:val="0"/>
          <w:numId w:val="2"/>
        </w:numPr>
        <w:spacing w:lineRule="auto" w:line="276"/>
        <w:rPr/>
      </w:pPr>
      <w:r>
        <w:rPr>
          <w:sz w:val="24"/>
          <w:szCs w:val="24"/>
          <w:lang w:val="fr-FR"/>
        </w:rPr>
        <w:t>Programme de cours détaillé</w:t>
      </w:r>
    </w:p>
    <w:p>
      <w:pPr>
        <w:pStyle w:val="Normal"/>
        <w:numPr>
          <w:ilvl w:val="0"/>
          <w:numId w:val="2"/>
        </w:numPr>
        <w:spacing w:lineRule="auto" w:line="276"/>
        <w:rPr>
          <w:lang w:val="fr-FR"/>
        </w:rPr>
      </w:pPr>
      <w:r>
        <w:rPr>
          <w:sz w:val="24"/>
          <w:szCs w:val="24"/>
          <w:lang w:val="fr-FR"/>
        </w:rPr>
        <w:t>Liste des participants</w:t>
      </w:r>
    </w:p>
    <w:p>
      <w:pPr>
        <w:pStyle w:val="Normal"/>
        <w:numPr>
          <w:ilvl w:val="0"/>
          <w:numId w:val="2"/>
        </w:numPr>
        <w:spacing w:lineRule="auto" w:line="276"/>
        <w:rPr>
          <w:lang w:val="fr-FR"/>
        </w:rPr>
      </w:pPr>
      <w:r>
        <w:rPr>
          <w:sz w:val="24"/>
          <w:szCs w:val="24"/>
          <w:lang w:val="fr-FR"/>
        </w:rPr>
        <w:t>Informations sur le lieu</w:t>
      </w:r>
    </w:p>
    <w:p>
      <w:pPr>
        <w:pStyle w:val="Normal"/>
        <w:numPr>
          <w:ilvl w:val="0"/>
          <w:numId w:val="2"/>
        </w:numPr>
        <w:spacing w:lineRule="auto" w:line="276"/>
        <w:rPr>
          <w:lang w:val="fr-FR"/>
        </w:rPr>
      </w:pPr>
      <w:r>
        <w:rPr>
          <w:sz w:val="24"/>
          <w:szCs w:val="24"/>
          <w:lang w:val="fr-FR"/>
        </w:rPr>
        <w:t>Stylos et blocs-notes</w:t>
      </w:r>
    </w:p>
    <w:p>
      <w:pPr>
        <w:pStyle w:val="Normal"/>
        <w:numPr>
          <w:ilvl w:val="0"/>
          <w:numId w:val="2"/>
        </w:numPr>
        <w:spacing w:lineRule="auto" w:line="276"/>
        <w:rPr>
          <w:lang w:val="fr-FR"/>
        </w:rPr>
      </w:pPr>
      <w:r>
        <w:rPr>
          <w:sz w:val="24"/>
          <w:szCs w:val="24"/>
          <w:lang w:val="fr-FR"/>
        </w:rPr>
        <w:t>Sacs, si le budget le permet</w:t>
      </w:r>
    </w:p>
    <w:p>
      <w:pPr>
        <w:pStyle w:val="Normal"/>
        <w:numPr>
          <w:ilvl w:val="0"/>
          <w:numId w:val="2"/>
        </w:numPr>
        <w:spacing w:lineRule="auto" w:line="276"/>
        <w:rPr>
          <w:lang w:val="fr-FR"/>
        </w:rPr>
      </w:pPr>
      <w:r>
        <w:rPr>
          <w:sz w:val="24"/>
          <w:szCs w:val="24"/>
          <w:lang w:val="fr-FR"/>
        </w:rPr>
        <w:t>Matériel de formation</w:t>
      </w:r>
    </w:p>
    <w:p>
      <w:pPr>
        <w:pStyle w:val="Normal"/>
        <w:numPr>
          <w:ilvl w:val="0"/>
          <w:numId w:val="2"/>
        </w:numPr>
        <w:spacing w:lineRule="auto" w:line="276"/>
        <w:rPr>
          <w:lang w:val="fr-FR"/>
        </w:rPr>
      </w:pPr>
      <w:r>
        <w:rPr>
          <w:sz w:val="24"/>
          <w:szCs w:val="24"/>
          <w:lang w:val="fr-FR"/>
        </w:rPr>
        <w:t>Cartes et brochures locales</w:t>
      </w:r>
    </w:p>
    <w:p>
      <w:pPr>
        <w:pStyle w:val="Normal"/>
        <w:numPr>
          <w:ilvl w:val="0"/>
          <w:numId w:val="2"/>
        </w:numPr>
        <w:spacing w:lineRule="auto" w:line="276"/>
        <w:rPr>
          <w:lang w:val="fr-FR"/>
        </w:rPr>
      </w:pPr>
      <w:r>
        <w:rPr>
          <w:sz w:val="24"/>
          <w:szCs w:val="24"/>
          <w:lang w:val="fr-FR"/>
        </w:rPr>
        <w:t>Numéros d’urgence / contacts</w:t>
      </w:r>
    </w:p>
    <w:p>
      <w:pPr>
        <w:pStyle w:val="Normal"/>
        <w:spacing w:lineRule="auto" w:line="276"/>
        <w:rPr>
          <w:sz w:val="24"/>
          <w:szCs w:val="24"/>
          <w:lang w:val="fr-FR"/>
        </w:rPr>
      </w:pPr>
      <w:r>
        <w:rPr>
          <w:sz w:val="24"/>
          <w:szCs w:val="24"/>
          <w:lang w:val="fr-FR"/>
        </w:rPr>
      </w:r>
    </w:p>
    <w:p>
      <w:pPr>
        <w:pStyle w:val="Normal"/>
        <w:spacing w:lineRule="auto" w:line="276"/>
        <w:rPr>
          <w:rFonts w:ascii="PT Sans Narrow" w:hAnsi="PT Sans Narrow" w:eastAsia="Times New Roman" w:cs="Arial"/>
          <w:bCs/>
          <w:color w:val="FF6600"/>
          <w:sz w:val="28"/>
          <w:szCs w:val="28"/>
          <w:lang w:val="fr-FR" w:eastAsia="zh-CN" w:bidi="ar-SA"/>
        </w:rPr>
      </w:pPr>
      <w:r>
        <w:rPr>
          <w:rFonts w:eastAsia="Times New Roman" w:cs="Arial" w:ascii="PT Sans Narrow" w:hAnsi="PT Sans Narrow"/>
          <w:bCs/>
          <w:color w:val="FF6600"/>
          <w:sz w:val="28"/>
          <w:szCs w:val="28"/>
          <w:lang w:val="fr-FR" w:eastAsia="zh-CN" w:bidi="ar-SA"/>
        </w:rPr>
        <w:t>Mettre en place le lieu (événements en classe uniquement)</w:t>
      </w:r>
    </w:p>
    <w:p>
      <w:pPr>
        <w:pStyle w:val="Normal"/>
        <w:spacing w:lineRule="auto" w:line="276"/>
        <w:rPr>
          <w:lang w:val="fr-FR"/>
        </w:rPr>
      </w:pPr>
      <w:r>
        <w:rPr>
          <w:sz w:val="24"/>
          <w:szCs w:val="24"/>
          <w:lang w:val="fr-FR"/>
        </w:rPr>
        <w:t>La mise en place du lieu peut inclure :</w:t>
      </w:r>
    </w:p>
    <w:p>
      <w:pPr>
        <w:pStyle w:val="Normal"/>
        <w:numPr>
          <w:ilvl w:val="0"/>
          <w:numId w:val="2"/>
        </w:numPr>
        <w:spacing w:lineRule="auto" w:line="276"/>
        <w:rPr>
          <w:lang w:val="fr-FR"/>
        </w:rPr>
      </w:pPr>
      <w:r>
        <w:rPr>
          <w:sz w:val="24"/>
          <w:szCs w:val="24"/>
          <w:lang w:val="fr-FR"/>
        </w:rPr>
        <w:t>Organiser la salle de classe</w:t>
      </w:r>
    </w:p>
    <w:p>
      <w:pPr>
        <w:pStyle w:val="Normal"/>
        <w:numPr>
          <w:ilvl w:val="0"/>
          <w:numId w:val="2"/>
        </w:numPr>
        <w:spacing w:lineRule="auto" w:line="276"/>
        <w:rPr>
          <w:lang w:val="fr-FR"/>
        </w:rPr>
      </w:pPr>
      <w:r>
        <w:rPr>
          <w:sz w:val="24"/>
          <w:szCs w:val="24"/>
          <w:lang w:val="fr-FR"/>
        </w:rPr>
        <w:t>Disposer les chaises et les tables en fonction des besoins de formation</w:t>
      </w:r>
    </w:p>
    <w:p>
      <w:pPr>
        <w:pStyle w:val="Normal"/>
        <w:numPr>
          <w:ilvl w:val="0"/>
          <w:numId w:val="2"/>
        </w:numPr>
        <w:spacing w:lineRule="auto" w:line="276"/>
        <w:rPr>
          <w:lang w:val="fr-FR"/>
        </w:rPr>
      </w:pPr>
      <w:r>
        <w:rPr>
          <w:sz w:val="24"/>
          <w:szCs w:val="24"/>
          <w:lang w:val="fr-FR"/>
        </w:rPr>
        <w:t>Distribuer du matériel de formation</w:t>
      </w:r>
    </w:p>
    <w:p>
      <w:pPr>
        <w:pStyle w:val="Normal"/>
        <w:numPr>
          <w:ilvl w:val="0"/>
          <w:numId w:val="2"/>
        </w:numPr>
        <w:spacing w:lineRule="auto" w:line="276"/>
        <w:rPr/>
      </w:pPr>
      <w:r>
        <w:rPr>
          <w:sz w:val="24"/>
          <w:szCs w:val="24"/>
          <w:lang w:val="fr-FR"/>
        </w:rPr>
        <w:t>Vérification de l’équipement (tableau papier, projecteurs, ordinateurs, internet, etc.)</w:t>
      </w:r>
    </w:p>
    <w:p>
      <w:pPr>
        <w:pStyle w:val="Normal"/>
        <w:numPr>
          <w:ilvl w:val="0"/>
          <w:numId w:val="2"/>
        </w:numPr>
        <w:spacing w:lineRule="auto" w:line="276"/>
        <w:rPr/>
      </w:pPr>
      <w:r>
        <w:rPr>
          <w:sz w:val="24"/>
          <w:szCs w:val="24"/>
          <w:lang w:val="fr-FR"/>
        </w:rPr>
        <w:t>Placer les box d’interprétation et les casques d’écoute (le cas échéant)</w:t>
      </w:r>
    </w:p>
    <w:p>
      <w:pPr>
        <w:pStyle w:val="Normal"/>
        <w:numPr>
          <w:ilvl w:val="0"/>
          <w:numId w:val="2"/>
        </w:numPr>
        <w:spacing w:lineRule="auto" w:line="276"/>
        <w:rPr/>
      </w:pPr>
      <w:r>
        <w:rPr>
          <w:sz w:val="24"/>
          <w:szCs w:val="24"/>
          <w:lang w:val="fr-FR"/>
        </w:rPr>
        <w:t>Mettre en place la signalisation (numéros de salle, déplacements dans l’établissement)</w:t>
      </w:r>
    </w:p>
    <w:p>
      <w:pPr>
        <w:pStyle w:val="Normal"/>
        <w:numPr>
          <w:ilvl w:val="0"/>
          <w:numId w:val="2"/>
        </w:numPr>
        <w:spacing w:lineRule="auto" w:line="276"/>
        <w:rPr/>
      </w:pPr>
      <w:r>
        <w:rPr>
          <w:sz w:val="24"/>
          <w:szCs w:val="24"/>
          <w:lang w:val="fr-FR"/>
        </w:rPr>
        <w:t>Organiser le comptoir d’accueil</w:t>
      </w:r>
    </w:p>
    <w:p>
      <w:pPr>
        <w:pStyle w:val="Normal"/>
        <w:numPr>
          <w:ilvl w:val="0"/>
          <w:numId w:val="2"/>
        </w:numPr>
        <w:spacing w:lineRule="auto" w:line="276"/>
        <w:rPr/>
      </w:pPr>
      <w:r>
        <w:rPr>
          <w:sz w:val="24"/>
          <w:szCs w:val="24"/>
          <w:lang w:val="fr-FR"/>
        </w:rPr>
        <w:t xml:space="preserve">Préparer les dossiers d’information pour les participants </w:t>
      </w:r>
    </w:p>
    <w:p>
      <w:pPr>
        <w:pStyle w:val="Normal"/>
        <w:spacing w:lineRule="auto" w:line="276"/>
        <w:rPr>
          <w:sz w:val="24"/>
          <w:szCs w:val="24"/>
          <w:lang w:val="fr-FR"/>
        </w:rPr>
      </w:pPr>
      <w:r>
        <w:rPr>
          <w:sz w:val="24"/>
          <w:szCs w:val="24"/>
          <w:lang w:val="fr-FR"/>
        </w:rPr>
      </w:r>
    </w:p>
    <w:p>
      <w:pPr>
        <w:pStyle w:val="Normal"/>
        <w:spacing w:lineRule="auto" w:line="276"/>
        <w:rPr>
          <w:rFonts w:ascii="PT Sans Narrow" w:hAnsi="PT Sans Narrow" w:eastAsia="Times New Roman" w:cs="Arial"/>
          <w:bCs/>
          <w:color w:val="FF6600"/>
          <w:sz w:val="28"/>
          <w:szCs w:val="28"/>
          <w:lang w:val="fr-FR" w:eastAsia="zh-CN" w:bidi="ar-SA"/>
        </w:rPr>
      </w:pPr>
      <w:r>
        <w:rPr>
          <w:rFonts w:eastAsia="Times New Roman" w:cs="Arial" w:ascii="PT Sans Narrow" w:hAnsi="PT Sans Narrow"/>
          <w:bCs/>
          <w:color w:val="FF6600"/>
          <w:sz w:val="28"/>
          <w:szCs w:val="28"/>
          <w:lang w:val="fr-FR" w:eastAsia="zh-CN" w:bidi="ar-SA"/>
        </w:rPr>
        <w:t>Attribuer des responsabilités parmi le personnel impliqué</w:t>
      </w:r>
    </w:p>
    <w:p>
      <w:pPr>
        <w:pStyle w:val="Normal"/>
        <w:spacing w:lineRule="auto" w:line="276"/>
        <w:rPr/>
      </w:pPr>
      <w:r>
        <w:rPr>
          <w:sz w:val="24"/>
          <w:szCs w:val="24"/>
          <w:lang w:val="fr-FR"/>
        </w:rPr>
        <w:t>Il est important de répartir les responsabilités entre les personnes impliquées dans l’organisation et la gestion de l’événement de formation. Ils doivent être bien informés sur le programme, le lieu, les installations et leurs responsabilités. Ils devraient être facilement identifiés par les participants comme des personnes auxquelles ils pourraient demander de l’aide. Les tâches de ces personnes peuvent inclure :</w:t>
      </w:r>
    </w:p>
    <w:p>
      <w:pPr>
        <w:pStyle w:val="Normal"/>
        <w:numPr>
          <w:ilvl w:val="0"/>
          <w:numId w:val="2"/>
        </w:numPr>
        <w:spacing w:lineRule="auto" w:line="276"/>
        <w:rPr>
          <w:lang w:val="fr-FR"/>
        </w:rPr>
      </w:pPr>
      <w:r>
        <w:rPr>
          <w:sz w:val="24"/>
          <w:szCs w:val="24"/>
          <w:lang w:val="fr-FR"/>
        </w:rPr>
        <w:t>Fournir de l’aide pour les cérémonies d’inscription, d’ouverture et de clôture</w:t>
      </w:r>
    </w:p>
    <w:p>
      <w:pPr>
        <w:pStyle w:val="Normal"/>
        <w:numPr>
          <w:ilvl w:val="0"/>
          <w:numId w:val="2"/>
        </w:numPr>
        <w:spacing w:lineRule="auto" w:line="276"/>
        <w:rPr>
          <w:lang w:val="fr-FR"/>
        </w:rPr>
      </w:pPr>
      <w:r>
        <w:rPr>
          <w:sz w:val="24"/>
          <w:szCs w:val="24"/>
          <w:lang w:val="fr-FR"/>
        </w:rPr>
        <w:t>Installation et test de l’équipement</w:t>
      </w:r>
    </w:p>
    <w:p>
      <w:pPr>
        <w:pStyle w:val="Normal"/>
        <w:numPr>
          <w:ilvl w:val="0"/>
          <w:numId w:val="2"/>
        </w:numPr>
        <w:spacing w:lineRule="auto" w:line="276"/>
        <w:rPr>
          <w:lang w:val="fr-FR"/>
        </w:rPr>
      </w:pPr>
      <w:r>
        <w:rPr>
          <w:sz w:val="24"/>
          <w:szCs w:val="24"/>
          <w:lang w:val="fr-FR"/>
        </w:rPr>
        <w:t>S’assurer que l’équipement est bien rangé pendant les pauses</w:t>
      </w:r>
    </w:p>
    <w:p>
      <w:pPr>
        <w:pStyle w:val="Normal"/>
        <w:numPr>
          <w:ilvl w:val="0"/>
          <w:numId w:val="2"/>
        </w:numPr>
        <w:spacing w:lineRule="auto" w:line="276"/>
        <w:rPr>
          <w:lang w:val="fr-FR"/>
        </w:rPr>
      </w:pPr>
      <w:r>
        <w:rPr>
          <w:sz w:val="24"/>
          <w:szCs w:val="24"/>
          <w:lang w:val="fr-FR"/>
        </w:rPr>
        <w:t>Assurer la liaison avec les traiteurs</w:t>
      </w:r>
    </w:p>
    <w:p>
      <w:pPr>
        <w:pStyle w:val="Normal"/>
        <w:numPr>
          <w:ilvl w:val="0"/>
          <w:numId w:val="2"/>
        </w:numPr>
        <w:spacing w:lineRule="auto" w:line="276"/>
        <w:rPr>
          <w:lang w:val="fr-FR"/>
        </w:rPr>
      </w:pPr>
      <w:r>
        <w:rPr>
          <w:sz w:val="24"/>
          <w:szCs w:val="24"/>
          <w:lang w:val="fr-FR"/>
        </w:rPr>
        <w:t>Aider en salle de classe (vérification de la ventilation, de la température ambiante, de l’eau et des verres sur les tables, etc.)</w:t>
      </w:r>
    </w:p>
    <w:p>
      <w:pPr>
        <w:pStyle w:val="Normal"/>
        <w:numPr>
          <w:ilvl w:val="0"/>
          <w:numId w:val="2"/>
        </w:numPr>
        <w:spacing w:lineRule="auto" w:line="276"/>
        <w:rPr/>
      </w:pPr>
      <w:r>
        <w:rPr>
          <w:sz w:val="24"/>
          <w:szCs w:val="24"/>
          <w:lang w:val="fr-FR"/>
        </w:rPr>
        <w:t>Accompagner les facilitateurs avant, pendant et après leurs sessions (photocopies, distribution de documents, circulation des microphones, etc.)</w:t>
      </w:r>
    </w:p>
    <w:p>
      <w:pPr>
        <w:pStyle w:val="Normal"/>
        <w:numPr>
          <w:ilvl w:val="0"/>
          <w:numId w:val="2"/>
        </w:numPr>
        <w:spacing w:lineRule="auto" w:line="276"/>
        <w:rPr>
          <w:lang w:val="fr-FR"/>
        </w:rPr>
      </w:pPr>
      <w:r>
        <w:rPr>
          <w:sz w:val="24"/>
          <w:szCs w:val="24"/>
          <w:lang w:val="fr-FR"/>
        </w:rPr>
        <w:t>Fournir de l’aide pour les excursions</w:t>
      </w:r>
    </w:p>
    <w:p>
      <w:pPr>
        <w:pStyle w:val="Normal"/>
        <w:numPr>
          <w:ilvl w:val="0"/>
          <w:numId w:val="2"/>
        </w:numPr>
        <w:spacing w:lineRule="auto" w:line="276"/>
        <w:rPr>
          <w:lang w:val="fr-FR"/>
        </w:rPr>
      </w:pPr>
      <w:r>
        <w:rPr>
          <w:sz w:val="24"/>
          <w:szCs w:val="24"/>
          <w:lang w:val="fr-FR"/>
        </w:rPr>
        <w:t>Aider à la distribution des certificats</w:t>
      </w:r>
    </w:p>
    <w:p>
      <w:pPr>
        <w:pStyle w:val="Normal"/>
        <w:numPr>
          <w:ilvl w:val="0"/>
          <w:numId w:val="2"/>
        </w:numPr>
        <w:spacing w:lineRule="auto" w:line="276"/>
        <w:rPr>
          <w:lang w:val="fr-FR"/>
        </w:rPr>
      </w:pPr>
      <w:r>
        <w:rPr>
          <w:sz w:val="24"/>
          <w:szCs w:val="24"/>
          <w:lang w:val="fr-FR"/>
        </w:rPr>
        <w:t>Fournir un soutien technique aux participants (par exemple en utilisant l’équipement / les laboratoires et en utilisant le site Web du cours (par exemple, participer à des activités, vérifier les paramètres du site, etc.)</w:t>
      </w:r>
    </w:p>
    <w:p>
      <w:pPr>
        <w:pStyle w:val="Normal"/>
        <w:numPr>
          <w:ilvl w:val="0"/>
          <w:numId w:val="2"/>
        </w:numPr>
        <w:spacing w:lineRule="auto" w:line="276"/>
        <w:rPr>
          <w:lang w:val="fr-FR"/>
        </w:rPr>
      </w:pPr>
      <w:r>
        <w:rPr>
          <w:sz w:val="24"/>
          <w:szCs w:val="24"/>
          <w:lang w:val="fr-FR"/>
        </w:rPr>
        <w:t>Tester et maintenir le site Web du cours à jour</w:t>
      </w:r>
    </w:p>
    <w:p>
      <w:pPr>
        <w:pStyle w:val="Normal"/>
        <w:spacing w:lineRule="auto" w:line="276"/>
        <w:rPr>
          <w:sz w:val="24"/>
          <w:szCs w:val="24"/>
          <w:lang w:val="fr-FR"/>
        </w:rPr>
      </w:pPr>
      <w:r>
        <w:rPr>
          <w:sz w:val="24"/>
          <w:szCs w:val="24"/>
          <w:lang w:val="fr-FR"/>
        </w:rPr>
      </w:r>
    </w:p>
    <w:p>
      <w:pPr>
        <w:pStyle w:val="Normal"/>
        <w:spacing w:lineRule="auto" w:line="276"/>
        <w:rPr>
          <w:rFonts w:ascii="PT Sans Narrow" w:hAnsi="PT Sans Narrow" w:eastAsia="Times New Roman" w:cs="Arial"/>
          <w:bCs/>
          <w:color w:val="2F5496" w:themeColor="accent1" w:themeShade="bf"/>
          <w:sz w:val="36"/>
          <w:szCs w:val="36"/>
          <w:lang w:val="fr-FR" w:eastAsia="zh-CN" w:bidi="ar-SA"/>
        </w:rPr>
      </w:pPr>
      <w:r>
        <w:rPr>
          <w:rFonts w:eastAsia="Times New Roman" w:cs="Arial" w:ascii="PT Sans Narrow" w:hAnsi="PT Sans Narrow"/>
          <w:bCs/>
          <w:color w:val="2F5496" w:themeColor="accent1" w:themeShade="bf"/>
          <w:sz w:val="36"/>
          <w:szCs w:val="36"/>
          <w:lang w:val="fr-FR" w:eastAsia="zh-CN" w:bidi="ar-SA"/>
        </w:rPr>
        <w:t>Activités pendant l’événement de formation</w:t>
      </w:r>
    </w:p>
    <w:p>
      <w:pPr>
        <w:pStyle w:val="Normal"/>
        <w:spacing w:lineRule="auto" w:line="276"/>
        <w:rPr>
          <w:rFonts w:ascii="PT Sans Narrow" w:hAnsi="PT Sans Narrow" w:eastAsia="Times New Roman" w:cs="Arial"/>
          <w:bCs/>
          <w:color w:val="FF6600"/>
          <w:sz w:val="28"/>
          <w:szCs w:val="28"/>
          <w:lang w:val="fr-FR" w:eastAsia="zh-CN" w:bidi="ar-SA"/>
        </w:rPr>
      </w:pPr>
      <w:r>
        <w:rPr>
          <w:rFonts w:eastAsia="Times New Roman" w:cs="Arial" w:ascii="PT Sans Narrow" w:hAnsi="PT Sans Narrow"/>
          <w:bCs/>
          <w:color w:val="FF6600"/>
          <w:sz w:val="28"/>
          <w:szCs w:val="28"/>
          <w:lang w:val="fr-FR" w:eastAsia="zh-CN" w:bidi="ar-SA"/>
        </w:rPr>
      </w:r>
    </w:p>
    <w:p>
      <w:pPr>
        <w:pStyle w:val="Normal"/>
        <w:spacing w:lineRule="auto" w:line="276"/>
        <w:rPr/>
      </w:pPr>
      <w:r>
        <w:rPr>
          <w:rFonts w:eastAsia="Times New Roman" w:cs="Arial" w:ascii="PT Sans Narrow" w:hAnsi="PT Sans Narrow"/>
          <w:bCs/>
          <w:color w:val="FF6600"/>
          <w:sz w:val="28"/>
          <w:szCs w:val="28"/>
          <w:lang w:val="fr-FR" w:eastAsia="zh-CN" w:bidi="ar-SA"/>
        </w:rPr>
        <w:t>Organiser l’accueil des participants</w:t>
      </w:r>
    </w:p>
    <w:p>
      <w:pPr>
        <w:pStyle w:val="Normal"/>
        <w:spacing w:lineRule="auto" w:line="276"/>
        <w:rPr/>
      </w:pPr>
      <w:r>
        <w:rPr>
          <w:sz w:val="24"/>
          <w:szCs w:val="24"/>
          <w:lang w:val="fr-FR"/>
        </w:rPr>
        <w:t>Un comptoir d’accueil avec du personnel local devrait être prêt le jour de l’ouverture, et les badges nominatifs et les dossiers d’accueil devront être distribués aux participants.</w:t>
      </w:r>
    </w:p>
    <w:p>
      <w:pPr>
        <w:pStyle w:val="Normal"/>
        <w:spacing w:lineRule="auto" w:line="276"/>
        <w:rPr>
          <w:lang w:val="fr-FR"/>
        </w:rPr>
      </w:pPr>
      <w:r>
        <w:rPr>
          <w:sz w:val="24"/>
          <w:szCs w:val="24"/>
          <w:lang w:val="fr-FR"/>
        </w:rPr>
        <w:t>Dans les événements en ligne, cela peut être fait quelque temps avant le début du cours (environ une semaine avant est recommandé). Cela permet aux participants d’explorer le site Web et de résoudre les problèmes d’accès avant le début du cours.</w:t>
      </w:r>
    </w:p>
    <w:p>
      <w:pPr>
        <w:pStyle w:val="Normal"/>
        <w:spacing w:lineRule="auto" w:line="276"/>
        <w:rPr/>
      </w:pPr>
      <w:r>
        <w:rPr>
          <w:sz w:val="24"/>
          <w:szCs w:val="24"/>
          <w:lang w:val="fr-FR"/>
        </w:rPr>
        <w:t>Il est important que les organisateurs du cours vérifient que tous les participants inscrits sont présents sur le site (cours en classe) ou ont pu accéder au site Web du cours (cours en ligne). Cela indique s’il est nécessaire de contacter les participants manquants pour enquêter sur la raison de l’absence et aussi sur un éventuel besoin de soutien.</w:t>
      </w:r>
    </w:p>
    <w:p>
      <w:pPr>
        <w:pStyle w:val="Normal"/>
        <w:spacing w:lineRule="auto" w:line="276"/>
        <w:rPr>
          <w:sz w:val="24"/>
          <w:szCs w:val="24"/>
          <w:lang w:val="fr-FR"/>
        </w:rPr>
      </w:pPr>
      <w:r>
        <w:rPr>
          <w:sz w:val="24"/>
          <w:szCs w:val="24"/>
          <w:lang w:val="fr-FR"/>
        </w:rPr>
      </w:r>
    </w:p>
    <w:p>
      <w:pPr>
        <w:pStyle w:val="Normal"/>
        <w:spacing w:lineRule="auto" w:line="276"/>
        <w:rPr/>
      </w:pPr>
      <w:r>
        <w:rPr>
          <w:rFonts w:eastAsia="Times New Roman" w:cs="Arial" w:ascii="PT Sans Narrow" w:hAnsi="PT Sans Narrow"/>
          <w:bCs/>
          <w:color w:val="FF6600"/>
          <w:sz w:val="28"/>
          <w:szCs w:val="28"/>
          <w:lang w:val="fr-FR" w:eastAsia="zh-CN" w:bidi="ar-SA"/>
        </w:rPr>
        <w:t>Mener une cérémonie d’ouverture (événements en classe seulement)</w:t>
      </w:r>
    </w:p>
    <w:p>
      <w:pPr>
        <w:pStyle w:val="Normal"/>
        <w:spacing w:lineRule="auto" w:line="276"/>
        <w:rPr/>
      </w:pPr>
      <w:r>
        <w:rPr>
          <w:sz w:val="24"/>
          <w:szCs w:val="24"/>
          <w:lang w:val="fr-FR"/>
        </w:rPr>
        <w:t>Afin d’éviter tout problème diplomatique et / ou hiérarchique, l’ordre des discours doit être vérifié avec les personnes impliquées.</w:t>
      </w:r>
    </w:p>
    <w:p>
      <w:pPr>
        <w:pStyle w:val="Normal"/>
        <w:spacing w:lineRule="auto" w:line="276"/>
        <w:rPr>
          <w:sz w:val="24"/>
          <w:szCs w:val="24"/>
          <w:lang w:val="fr-FR"/>
        </w:rPr>
      </w:pPr>
      <w:r>
        <w:rPr>
          <w:sz w:val="24"/>
          <w:szCs w:val="24"/>
          <w:lang w:val="fr-FR"/>
        </w:rPr>
      </w:r>
    </w:p>
    <w:p>
      <w:pPr>
        <w:pStyle w:val="Normal"/>
        <w:spacing w:lineRule="auto" w:line="276"/>
        <w:rPr>
          <w:rFonts w:ascii="PT Sans Narrow" w:hAnsi="PT Sans Narrow" w:eastAsia="Times New Roman" w:cs="Arial"/>
          <w:bCs/>
          <w:color w:val="FF6600"/>
          <w:sz w:val="28"/>
          <w:szCs w:val="28"/>
          <w:lang w:val="fr-FR" w:eastAsia="zh-CN" w:bidi="ar-SA"/>
        </w:rPr>
      </w:pPr>
      <w:r>
        <w:rPr>
          <w:rFonts w:eastAsia="Times New Roman" w:cs="Arial" w:ascii="PT Sans Narrow" w:hAnsi="PT Sans Narrow"/>
          <w:bCs/>
          <w:color w:val="FF6600"/>
          <w:sz w:val="28"/>
          <w:szCs w:val="28"/>
          <w:lang w:val="fr-FR" w:eastAsia="zh-CN" w:bidi="ar-SA"/>
        </w:rPr>
        <w:t>Organiser une séance photo de groupe</w:t>
      </w:r>
    </w:p>
    <w:p>
      <w:pPr>
        <w:pStyle w:val="Normal"/>
        <w:spacing w:lineRule="auto" w:line="276"/>
        <w:rPr/>
      </w:pPr>
      <w:r>
        <w:rPr>
          <w:sz w:val="24"/>
          <w:szCs w:val="24"/>
          <w:lang w:val="fr-FR"/>
        </w:rPr>
        <w:t>Des photographies du lieu, des présentateurs, des participants et des sessions peuvent être utilisées pour promouvoir l’activité. Juste après la cérémonie d’ouverture, une séance de photos peut être organisée pour inclure également les hautes personnalités présentes à la cérémonie.</w:t>
      </w:r>
    </w:p>
    <w:p>
      <w:pPr>
        <w:pStyle w:val="Normal"/>
        <w:spacing w:lineRule="auto" w:line="276"/>
        <w:rPr>
          <w:sz w:val="24"/>
          <w:szCs w:val="24"/>
          <w:lang w:val="fr-FR"/>
        </w:rPr>
      </w:pPr>
      <w:r>
        <w:rPr>
          <w:sz w:val="24"/>
          <w:szCs w:val="24"/>
          <w:lang w:val="fr-FR"/>
        </w:rPr>
      </w:r>
    </w:p>
    <w:p>
      <w:pPr>
        <w:pStyle w:val="Normal"/>
        <w:spacing w:lineRule="auto" w:line="276"/>
        <w:rPr>
          <w:sz w:val="24"/>
          <w:szCs w:val="24"/>
          <w:lang w:val="fr-FR"/>
        </w:rPr>
      </w:pPr>
      <w:r>
        <w:rPr>
          <w:sz w:val="24"/>
          <w:szCs w:val="24"/>
          <w:lang w:val="fr-FR"/>
        </w:rPr>
      </w:r>
    </w:p>
    <w:p>
      <w:pPr>
        <w:pStyle w:val="Normal"/>
        <w:spacing w:lineRule="auto" w:line="276"/>
        <w:rPr>
          <w:rFonts w:ascii="PT Sans Narrow" w:hAnsi="PT Sans Narrow" w:eastAsia="Times New Roman" w:cs="Arial"/>
          <w:bCs/>
          <w:color w:val="FF6600"/>
          <w:sz w:val="28"/>
          <w:szCs w:val="28"/>
          <w:lang w:val="fr-FR" w:eastAsia="zh-CN" w:bidi="ar-SA"/>
        </w:rPr>
      </w:pPr>
      <w:r>
        <w:rPr>
          <w:rFonts w:eastAsia="Times New Roman" w:cs="Arial" w:ascii="PT Sans Narrow" w:hAnsi="PT Sans Narrow"/>
          <w:bCs/>
          <w:color w:val="FF6600"/>
          <w:sz w:val="28"/>
          <w:szCs w:val="28"/>
          <w:lang w:val="fr-FR" w:eastAsia="zh-CN" w:bidi="ar-SA"/>
        </w:rPr>
        <w:t>Faire des annonces générales</w:t>
      </w:r>
    </w:p>
    <w:p>
      <w:pPr>
        <w:pStyle w:val="Normal"/>
        <w:spacing w:lineRule="auto" w:line="276"/>
        <w:rPr/>
      </w:pPr>
      <w:r>
        <w:rPr>
          <w:sz w:val="24"/>
          <w:szCs w:val="24"/>
          <w:lang w:val="fr-FR"/>
        </w:rPr>
        <w:t>Une personne doit être prévue pour rassembler et compiler l’information et l’annoncer au début ou à la fin de chaque session si nécessaire. Cette information peut concerner les installations, où les pauses-café et le déjeuner seront servis, les téléphones, Internet, le transport, la sécurité, les ordinateurs et d’autres questions spécifiques.</w:t>
      </w:r>
    </w:p>
    <w:p>
      <w:pPr>
        <w:pStyle w:val="Normal"/>
        <w:spacing w:lineRule="auto" w:line="276"/>
        <w:rPr>
          <w:lang w:val="fr-FR"/>
        </w:rPr>
      </w:pPr>
      <w:r>
        <w:rPr>
          <w:sz w:val="24"/>
          <w:szCs w:val="24"/>
          <w:lang w:val="fr-FR"/>
        </w:rPr>
        <w:t>Dans les cours en ligne, avoir un forum dédié aux annonces est toujours un bon moyen de rendre l’information facile à trouver à tout moment.</w:t>
      </w:r>
    </w:p>
    <w:p>
      <w:pPr>
        <w:pStyle w:val="Normal"/>
        <w:spacing w:lineRule="auto" w:line="276"/>
        <w:rPr>
          <w:sz w:val="24"/>
          <w:szCs w:val="24"/>
          <w:lang w:val="fr-FR"/>
        </w:rPr>
      </w:pPr>
      <w:r>
        <w:rPr>
          <w:sz w:val="24"/>
          <w:szCs w:val="24"/>
          <w:lang w:val="fr-FR"/>
        </w:rPr>
      </w:r>
    </w:p>
    <w:p>
      <w:pPr>
        <w:pStyle w:val="Normal"/>
        <w:spacing w:lineRule="auto" w:line="276"/>
        <w:rPr/>
      </w:pPr>
      <w:r>
        <w:rPr>
          <w:rFonts w:eastAsia="Times New Roman" w:cs="Arial" w:ascii="PT Sans Narrow" w:hAnsi="PT Sans Narrow"/>
          <w:bCs/>
          <w:color w:val="FF6600"/>
          <w:sz w:val="28"/>
          <w:szCs w:val="28"/>
          <w:lang w:val="fr-FR" w:eastAsia="zh-CN" w:bidi="ar-SA"/>
        </w:rPr>
        <w:t>Assurer le bon déroulement de la formation</w:t>
      </w:r>
    </w:p>
    <w:p>
      <w:pPr>
        <w:pStyle w:val="Normal"/>
        <w:spacing w:lineRule="auto" w:line="276"/>
        <w:rPr/>
      </w:pPr>
      <w:r>
        <w:rPr>
          <w:sz w:val="24"/>
          <w:szCs w:val="24"/>
          <w:lang w:val="fr-FR"/>
        </w:rPr>
        <w:t>S’assurer que le personnel de soutien est disponible et qu’il agit au besoin pour assurer la prestation de la formation sans heurt. Les facilitateurs peuvent aussi avoir besoin de soutien pendant leurs sessions pour imprimer, distribuer des documents, faire circuler des microphones, télécharger des ressources de formation sur le site Web, mettre en place des sessions synchrones, etc.</w:t>
      </w:r>
    </w:p>
    <w:p>
      <w:pPr>
        <w:pStyle w:val="Normal"/>
        <w:spacing w:lineRule="auto" w:line="276"/>
        <w:rPr>
          <w:sz w:val="24"/>
          <w:szCs w:val="24"/>
          <w:lang w:val="fr-FR"/>
        </w:rPr>
      </w:pPr>
      <w:r>
        <w:rPr>
          <w:sz w:val="24"/>
          <w:szCs w:val="24"/>
          <w:lang w:val="fr-FR"/>
        </w:rPr>
      </w:r>
    </w:p>
    <w:p>
      <w:pPr>
        <w:pStyle w:val="Normal"/>
        <w:spacing w:lineRule="auto" w:line="276"/>
        <w:rPr>
          <w:rFonts w:ascii="PT Sans Narrow" w:hAnsi="PT Sans Narrow" w:eastAsia="Times New Roman" w:cs="Arial"/>
          <w:bCs/>
          <w:color w:val="FF6600"/>
          <w:sz w:val="28"/>
          <w:szCs w:val="28"/>
          <w:lang w:val="fr-FR" w:eastAsia="zh-CN" w:bidi="ar-SA"/>
        </w:rPr>
      </w:pPr>
      <w:r>
        <w:rPr>
          <w:rFonts w:eastAsia="Times New Roman" w:cs="Arial" w:ascii="PT Sans Narrow" w:hAnsi="PT Sans Narrow"/>
          <w:bCs/>
          <w:color w:val="FF6600"/>
          <w:sz w:val="28"/>
          <w:szCs w:val="28"/>
          <w:lang w:val="fr-FR" w:eastAsia="zh-CN" w:bidi="ar-SA"/>
        </w:rPr>
        <w:t>Distribuer des certificats</w:t>
      </w:r>
    </w:p>
    <w:p>
      <w:pPr>
        <w:pStyle w:val="Normal"/>
        <w:spacing w:lineRule="auto" w:line="276"/>
        <w:rPr/>
      </w:pPr>
      <w:r>
        <w:rPr>
          <w:sz w:val="24"/>
          <w:szCs w:val="24"/>
          <w:lang w:val="fr-FR"/>
        </w:rPr>
        <w:t>Les certificats de présence, qui sont déjà préparés et signés par les personnes concernées, doivent être distribués par les participants à la fin de la formation. Il est important d’essayer de préparer ces certificats à l’avance, car il peut être difficile de joindre les PR et autres autorités à la dernière minute.</w:t>
      </w:r>
    </w:p>
    <w:p>
      <w:pPr>
        <w:pStyle w:val="Normal"/>
        <w:spacing w:lineRule="auto" w:line="276"/>
        <w:rPr/>
      </w:pPr>
      <w:r>
        <w:rPr>
          <w:sz w:val="24"/>
          <w:szCs w:val="24"/>
          <w:lang w:val="fr-FR"/>
        </w:rPr>
        <w:t>Cette activité peut avoir lieu après l’événement, dans le cas où des évaluations et des projets doivent être notés.</w:t>
      </w:r>
    </w:p>
    <w:p>
      <w:pPr>
        <w:pStyle w:val="Normal"/>
        <w:spacing w:lineRule="auto" w:line="276"/>
        <w:rPr>
          <w:sz w:val="24"/>
          <w:szCs w:val="24"/>
          <w:lang w:val="fr-FR"/>
        </w:rPr>
      </w:pPr>
      <w:r>
        <w:rPr>
          <w:sz w:val="24"/>
          <w:szCs w:val="24"/>
          <w:lang w:val="fr-FR"/>
        </w:rPr>
      </w:r>
    </w:p>
    <w:p>
      <w:pPr>
        <w:pStyle w:val="Normal"/>
        <w:spacing w:lineRule="auto" w:line="276"/>
        <w:rPr/>
      </w:pPr>
      <w:r>
        <w:rPr>
          <w:rFonts w:eastAsia="Times New Roman" w:cs="Arial" w:ascii="PT Sans Narrow" w:hAnsi="PT Sans Narrow"/>
          <w:bCs/>
          <w:color w:val="FF6600"/>
          <w:sz w:val="28"/>
          <w:szCs w:val="28"/>
          <w:lang w:val="fr-FR" w:eastAsia="zh-CN" w:bidi="ar-SA"/>
        </w:rPr>
        <w:t>Conduire une évaluation de la session</w:t>
      </w:r>
    </w:p>
    <w:p>
      <w:pPr>
        <w:pStyle w:val="Normal"/>
        <w:spacing w:lineRule="auto" w:line="276"/>
        <w:rPr/>
      </w:pPr>
      <w:r>
        <w:rPr>
          <w:sz w:val="24"/>
          <w:szCs w:val="24"/>
          <w:lang w:val="fr-FR"/>
        </w:rPr>
        <w:t>L’évaluation peut être lancée à la fin de l’événement de formation, avec la collecte et / ou la discussion de commentaires généraux et de suggestions. En plus des questions sur le contenu des cours et la prestation de la formation, les aspects organisationnels devraient également être évalués. Contacter les participants pour recueillir des commentaires supplémentaires quelques mois après la fin du cours, afin d’enquêter sur l’utilisation des compétences acquises au cours de la formation, devrait également être envisagé.</w:t>
      </w:r>
    </w:p>
    <w:p>
      <w:pPr>
        <w:pStyle w:val="Normal"/>
        <w:spacing w:lineRule="auto" w:line="276"/>
        <w:rPr>
          <w:sz w:val="24"/>
          <w:szCs w:val="24"/>
          <w:lang w:val="fr-FR"/>
        </w:rPr>
      </w:pPr>
      <w:r>
        <w:rPr>
          <w:sz w:val="24"/>
          <w:szCs w:val="24"/>
          <w:lang w:val="fr-FR"/>
        </w:rPr>
      </w:r>
    </w:p>
    <w:p>
      <w:pPr>
        <w:pStyle w:val="Normal"/>
        <w:spacing w:lineRule="auto" w:line="276"/>
        <w:rPr>
          <w:rFonts w:ascii="PT Sans Narrow" w:hAnsi="PT Sans Narrow" w:eastAsia="Times New Roman" w:cs="Arial"/>
          <w:bCs/>
          <w:color w:val="2F5496" w:themeColor="accent1" w:themeShade="bf"/>
          <w:sz w:val="36"/>
          <w:szCs w:val="36"/>
          <w:lang w:val="fr-FR" w:eastAsia="zh-CN" w:bidi="ar-SA"/>
        </w:rPr>
      </w:pPr>
      <w:r>
        <w:rPr>
          <w:rFonts w:eastAsia="Times New Roman" w:cs="Arial" w:ascii="PT Sans Narrow" w:hAnsi="PT Sans Narrow"/>
          <w:bCs/>
          <w:color w:val="2F5496" w:themeColor="accent1" w:themeShade="bf"/>
          <w:sz w:val="36"/>
          <w:szCs w:val="36"/>
          <w:lang w:val="fr-FR" w:eastAsia="zh-CN" w:bidi="ar-SA"/>
        </w:rPr>
        <w:t>Activités après l’événement de formation</w:t>
      </w:r>
    </w:p>
    <w:p>
      <w:pPr>
        <w:pStyle w:val="Normal"/>
        <w:spacing w:lineRule="auto" w:line="276"/>
        <w:rPr>
          <w:sz w:val="24"/>
          <w:szCs w:val="24"/>
          <w:lang w:val="fr-FR"/>
        </w:rPr>
      </w:pPr>
      <w:r>
        <w:rPr>
          <w:sz w:val="24"/>
          <w:szCs w:val="24"/>
          <w:lang w:val="fr-FR"/>
        </w:rPr>
      </w:r>
    </w:p>
    <w:p>
      <w:pPr>
        <w:pStyle w:val="Normal"/>
        <w:spacing w:lineRule="auto" w:line="276"/>
        <w:rPr/>
      </w:pPr>
      <w:r>
        <w:rPr>
          <w:rFonts w:ascii="PT Sans Narrow" w:hAnsi="PT Sans Narrow"/>
          <w:bCs/>
          <w:color w:val="FF6600"/>
          <w:sz w:val="28"/>
          <w:szCs w:val="28"/>
          <w:lang w:val="fr-FR"/>
        </w:rPr>
        <w:t>Envoyer une communication finale à toute personne impliquée dans la formation</w:t>
      </w:r>
    </w:p>
    <w:p>
      <w:pPr>
        <w:pStyle w:val="Normal"/>
        <w:spacing w:lineRule="auto" w:line="276"/>
        <w:rPr/>
      </w:pPr>
      <w:r>
        <w:rPr>
          <w:sz w:val="24"/>
          <w:szCs w:val="24"/>
          <w:lang w:val="fr-FR"/>
        </w:rPr>
        <w:t>La communication finale à envoyer aux participants peut être juste une reconnaissance des organisateurs ou inclure également les résultats de l’évaluation finale et des projets. N’oubliez pas d’écrire également des lettres de remerciement aux facilitateurs, aux commanditaires et au personnel de soutien pour leurs contributions.</w:t>
      </w:r>
    </w:p>
    <w:p>
      <w:pPr>
        <w:pStyle w:val="Normal"/>
        <w:spacing w:lineRule="auto" w:line="276"/>
        <w:rPr>
          <w:sz w:val="24"/>
          <w:szCs w:val="24"/>
          <w:lang w:val="fr-FR"/>
        </w:rPr>
      </w:pPr>
      <w:r>
        <w:rPr>
          <w:sz w:val="24"/>
          <w:szCs w:val="24"/>
          <w:lang w:val="fr-FR"/>
        </w:rPr>
      </w:r>
    </w:p>
    <w:p>
      <w:pPr>
        <w:pStyle w:val="Normal"/>
        <w:spacing w:lineRule="auto" w:line="276"/>
        <w:rPr>
          <w:sz w:val="24"/>
          <w:szCs w:val="24"/>
          <w:lang w:val="fr-FR"/>
        </w:rPr>
      </w:pPr>
      <w:r>
        <w:rPr>
          <w:sz w:val="24"/>
          <w:szCs w:val="24"/>
          <w:lang w:val="fr-FR"/>
        </w:rPr>
      </w:r>
    </w:p>
    <w:p>
      <w:pPr>
        <w:pStyle w:val="Normal"/>
        <w:spacing w:lineRule="auto" w:line="276"/>
        <w:rPr>
          <w:rFonts w:ascii="PT Sans Narrow" w:hAnsi="PT Sans Narrow" w:eastAsia="Times New Roman" w:cs="Arial"/>
          <w:bCs/>
          <w:color w:val="FF6600"/>
          <w:sz w:val="28"/>
          <w:szCs w:val="28"/>
          <w:lang w:val="fr-FR" w:eastAsia="zh-CN" w:bidi="ar-SA"/>
        </w:rPr>
      </w:pPr>
      <w:r>
        <w:rPr>
          <w:rFonts w:eastAsia="Times New Roman" w:cs="Arial" w:ascii="PT Sans Narrow" w:hAnsi="PT Sans Narrow"/>
          <w:bCs/>
          <w:color w:val="FF6600"/>
          <w:sz w:val="28"/>
          <w:szCs w:val="28"/>
          <w:lang w:val="fr-FR" w:eastAsia="zh-CN" w:bidi="ar-SA"/>
        </w:rPr>
        <w:t>Finaliser les responsabilités financières</w:t>
      </w:r>
    </w:p>
    <w:p>
      <w:pPr>
        <w:pStyle w:val="Normal"/>
        <w:spacing w:lineRule="auto" w:line="276"/>
        <w:rPr>
          <w:lang w:val="fr-FR"/>
        </w:rPr>
      </w:pPr>
      <w:r>
        <w:rPr>
          <w:sz w:val="24"/>
          <w:szCs w:val="24"/>
          <w:lang w:val="fr-FR"/>
        </w:rPr>
        <w:t>Payer les comptes en souffrance et développer un bilan de clôture.</w:t>
      </w:r>
    </w:p>
    <w:p>
      <w:pPr>
        <w:pStyle w:val="Normal"/>
        <w:spacing w:lineRule="auto" w:line="276"/>
        <w:rPr>
          <w:rFonts w:ascii="PT Sans Narrow" w:hAnsi="PT Sans Narrow" w:eastAsia="Times New Roman" w:cs="Arial"/>
          <w:bCs/>
          <w:color w:val="FF6600"/>
          <w:sz w:val="28"/>
          <w:szCs w:val="28"/>
          <w:lang w:val="fr-FR" w:eastAsia="zh-CN" w:bidi="ar-SA"/>
        </w:rPr>
      </w:pPr>
      <w:r>
        <w:rPr>
          <w:rFonts w:eastAsia="Times New Roman" w:cs="Arial" w:ascii="PT Sans Narrow" w:hAnsi="PT Sans Narrow"/>
          <w:bCs/>
          <w:color w:val="FF6600"/>
          <w:sz w:val="28"/>
          <w:szCs w:val="28"/>
          <w:lang w:val="fr-FR" w:eastAsia="zh-CN" w:bidi="ar-SA"/>
        </w:rPr>
      </w:r>
    </w:p>
    <w:p>
      <w:pPr>
        <w:pStyle w:val="Normal"/>
        <w:spacing w:lineRule="auto" w:line="276"/>
        <w:rPr>
          <w:rFonts w:ascii="PT Sans Narrow" w:hAnsi="PT Sans Narrow" w:eastAsia="Times New Roman" w:cs="Arial"/>
          <w:bCs/>
          <w:color w:val="FF6600"/>
          <w:sz w:val="28"/>
          <w:szCs w:val="28"/>
          <w:lang w:val="fr-FR" w:eastAsia="zh-CN" w:bidi="ar-SA"/>
        </w:rPr>
      </w:pPr>
      <w:r>
        <w:rPr>
          <w:rFonts w:eastAsia="Times New Roman" w:cs="Arial" w:ascii="PT Sans Narrow" w:hAnsi="PT Sans Narrow"/>
          <w:bCs/>
          <w:color w:val="FF6600"/>
          <w:sz w:val="28"/>
          <w:szCs w:val="28"/>
          <w:lang w:val="fr-FR" w:eastAsia="zh-CN" w:bidi="ar-SA"/>
        </w:rPr>
        <w:t>Préparer un rapport</w:t>
      </w:r>
    </w:p>
    <w:p>
      <w:pPr>
        <w:pStyle w:val="Normal"/>
        <w:spacing w:lineRule="auto" w:line="276"/>
        <w:rPr>
          <w:lang w:val="fr-FR"/>
        </w:rPr>
      </w:pPr>
      <w:r>
        <w:rPr>
          <w:sz w:val="24"/>
          <w:szCs w:val="24"/>
          <w:lang w:val="fr-FR"/>
        </w:rPr>
        <w:t>Préparer un rapport sur l’activité de formation pour résumer les résultats et identifier les leçons apprises. Ce rapport devrait inclure :</w:t>
      </w:r>
    </w:p>
    <w:p>
      <w:pPr>
        <w:pStyle w:val="ListBullet3"/>
        <w:numPr>
          <w:ilvl w:val="0"/>
          <w:numId w:val="2"/>
        </w:numPr>
        <w:spacing w:before="0" w:after="0"/>
        <w:rPr/>
      </w:pPr>
      <w:r>
        <w:rPr/>
        <w:t>Liste des participants</w:t>
      </w:r>
    </w:p>
    <w:p>
      <w:pPr>
        <w:pStyle w:val="ListBullet3"/>
        <w:numPr>
          <w:ilvl w:val="0"/>
          <w:numId w:val="2"/>
        </w:numPr>
        <w:spacing w:before="0" w:after="0"/>
        <w:rPr/>
      </w:pPr>
      <w:r>
        <w:rPr/>
        <w:t>Un aperçu des activités entreprises</w:t>
      </w:r>
    </w:p>
    <w:p>
      <w:pPr>
        <w:pStyle w:val="ListBullet3"/>
        <w:numPr>
          <w:ilvl w:val="0"/>
          <w:numId w:val="2"/>
        </w:numPr>
        <w:spacing w:before="0" w:after="0"/>
        <w:rPr/>
      </w:pPr>
      <w:r>
        <w:rPr/>
        <w:t>Résumé des résultats de l’évaluation</w:t>
      </w:r>
    </w:p>
    <w:p>
      <w:pPr>
        <w:pStyle w:val="ListBullet3"/>
        <w:numPr>
          <w:ilvl w:val="0"/>
          <w:numId w:val="2"/>
        </w:numPr>
        <w:spacing w:before="0" w:after="0"/>
        <w:rPr/>
      </w:pPr>
      <w:r>
        <w:rPr/>
        <w:t>Résumé financier (revenus, dépenses, recettes, etc.)</w:t>
      </w:r>
    </w:p>
    <w:p>
      <w:pPr>
        <w:pStyle w:val="ListBullet3"/>
        <w:numPr>
          <w:ilvl w:val="0"/>
          <w:numId w:val="2"/>
        </w:numPr>
        <w:spacing w:before="0" w:after="0"/>
        <w:rPr/>
      </w:pPr>
      <w:r>
        <w:rPr/>
        <w:t>Leçons apprises pour soutenir la planification d’événements futurs</w:t>
      </w:r>
    </w:p>
    <w:p>
      <w:pPr>
        <w:pStyle w:val="Normal"/>
        <w:spacing w:lineRule="auto" w:line="276"/>
        <w:rPr/>
      </w:pPr>
      <w:r>
        <w:rPr>
          <w:sz w:val="24"/>
          <w:szCs w:val="24"/>
          <w:lang w:val="fr-FR"/>
        </w:rPr>
        <w:t>N’oubliez pas de partager le rapport avec les sponsors, s’il y en a.</w:t>
      </w:r>
    </w:p>
    <w:sectPr>
      <w:headerReference w:type="default" r:id="rId2"/>
      <w:footerReference w:type="default" r:id="rId3"/>
      <w:footnotePr>
        <w:numFmt w:val="decimal"/>
      </w:footnotePr>
      <w:type w:val="nextPage"/>
      <w:pgSz w:w="11906" w:h="16838"/>
      <w:pgMar w:left="1440" w:right="625" w:header="907" w:top="1440" w:footer="907" w:bottom="1440"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swiss"/>
    <w:pitch w:val="default"/>
  </w:font>
  <w:font w:name="Arial">
    <w:charset w:val="01"/>
    <w:family w:val="swiss"/>
    <w:pitch w:val="default"/>
  </w:font>
  <w:font w:name="Symbol">
    <w:charset w:val="01"/>
    <w:family w:val="swiss"/>
    <w:pitch w:val="default"/>
  </w:font>
  <w:font w:name="Courier New">
    <w:charset w:val="01"/>
    <w:family w:val="swiss"/>
    <w:pitch w:val="default"/>
  </w:font>
  <w:font w:name="Wingdings">
    <w:charset w:val="01"/>
    <w:family w:val="swiss"/>
    <w:pitch w:val="default"/>
  </w:font>
  <w:font w:name="OpenSymbol">
    <w:altName w:val="Arial Unicode MS"/>
    <w:charset w:val="01"/>
    <w:family w:val="swiss"/>
    <w:pitch w:val="default"/>
  </w:font>
  <w:font w:name="Liberation Sans">
    <w:altName w:val="Arial"/>
    <w:charset w:val="01"/>
    <w:family w:val="swiss"/>
    <w:pitch w:val="default"/>
  </w:font>
  <w:font w:name="Tahoma">
    <w:charset w:val="01"/>
    <w:family w:val="swiss"/>
    <w:pitch w:val="default"/>
  </w:font>
  <w:font w:name="PT Sans Narrow">
    <w:charset w:val="01"/>
    <w:family w:val="swiss"/>
    <w:pitch w:val="default"/>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W w:w="9026" w:type="dxa"/>
      <w:jc w:val="left"/>
      <w:tblInd w:w="0" w:type="dxa"/>
      <w:tblBorders/>
      <w:tblCellMar>
        <w:top w:w="113" w:type="dxa"/>
        <w:left w:w="108" w:type="dxa"/>
        <w:bottom w:w="0" w:type="dxa"/>
        <w:right w:w="108" w:type="dxa"/>
      </w:tblCellMar>
      <w:tblLook w:val="04a0" w:noVBand="1" w:noHBand="0" w:firstRow="1" w:lastRow="0" w:firstColumn="1" w:lastColumn="0"/>
    </w:tblPr>
    <w:tblGrid>
      <w:gridCol w:w="4505"/>
      <w:gridCol w:w="4520"/>
    </w:tblGrid>
    <w:tr>
      <w:trPr/>
      <w:tc>
        <w:tcPr>
          <w:tcW w:w="4505" w:type="dxa"/>
          <w:tcBorders/>
          <w:shd w:color="auto" w:fill="auto" w:val="clear"/>
        </w:tcPr>
        <w:p>
          <w:pPr>
            <w:pStyle w:val="Pieddepage"/>
            <w:rPr>
              <w:rFonts w:eastAsia="SimSun"/>
              <w:sz w:val="18"/>
              <w:szCs w:val="18"/>
            </w:rPr>
          </w:pPr>
          <w:r>
            <w:rPr>
              <w:rFonts w:eastAsia="SimSun"/>
              <w:sz w:val="18"/>
              <w:szCs w:val="18"/>
              <w:lang w:val="fr-FR"/>
            </w:rPr>
            <w:t>Version 2.0 2017</w:t>
          </w:r>
        </w:p>
      </w:tc>
      <w:tc>
        <w:tcPr>
          <w:tcW w:w="4520" w:type="dxa"/>
          <w:tcBorders/>
          <w:shd w:color="auto" w:fill="auto" w:val="clear"/>
        </w:tcPr>
        <w:p>
          <w:pPr>
            <w:pStyle w:val="Pieddepage"/>
            <w:jc w:val="right"/>
            <w:rPr>
              <w:rFonts w:eastAsia="SimSun"/>
              <w:sz w:val="18"/>
              <w:szCs w:val="18"/>
            </w:rPr>
          </w:pPr>
          <w:r>
            <w:rPr/>
            <w:drawing>
              <wp:inline distT="0" distB="0" distL="0" distR="0">
                <wp:extent cx="508000" cy="177800"/>
                <wp:effectExtent l="0" t="0" r="0" b="0"/>
                <wp:docPr id="1"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
                        <pic:cNvPicPr>
                          <a:picLocks noChangeAspect="1" noChangeArrowheads="1"/>
                        </pic:cNvPicPr>
                      </pic:nvPicPr>
                      <pic:blipFill>
                        <a:blip r:embed="rId1"/>
                        <a:stretch>
                          <a:fillRect/>
                        </a:stretch>
                      </pic:blipFill>
                      <pic:spPr bwMode="auto">
                        <a:xfrm>
                          <a:off x="0" y="0"/>
                          <a:ext cx="508000" cy="177800"/>
                        </a:xfrm>
                        <a:prstGeom prst="rect">
                          <a:avLst/>
                        </a:prstGeom>
                      </pic:spPr>
                    </pic:pic>
                  </a:graphicData>
                </a:graphic>
              </wp:inline>
            </w:drawing>
          </w:r>
        </w:p>
      </w:tc>
    </w:tr>
  </w:tbl>
  <w:p>
    <w:pPr>
      <w:pStyle w:val="Pieddepage"/>
      <w:rPr>
        <w:lang w:val="fr-FR"/>
      </w:rPr>
    </w:pPr>
    <w:r>
      <w:rPr>
        <w:lang w:val="fr-F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Footnotetext"/>
        <w:rPr/>
      </w:pPr>
      <w:r>
        <w:rPr>
          <w:rStyle w:val="Footnotereference"/>
          <w:sz w:val="20"/>
          <w:szCs w:val="20"/>
          <w:lang w:val="fr-FR"/>
        </w:rPr>
        <w:footnoteRef/>
        <w:tab/>
      </w:r>
      <w:r>
        <w:rPr>
          <w:sz w:val="20"/>
          <w:szCs w:val="20"/>
          <w:lang w:val="fr-FR"/>
        </w:rPr>
        <w:t xml:space="preserve"> </w:t>
      </w:r>
      <w:r>
        <w:rPr>
          <w:sz w:val="20"/>
          <w:szCs w:val="20"/>
          <w:lang w:val="fr-FR"/>
        </w:rPr>
        <w:t>Adapté de leçons et présentations de Mustafa Adıgüzel.</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Entte"/>
      <w:rPr>
        <w:sz w:val="18"/>
        <w:szCs w:val="18"/>
      </w:rPr>
    </w:pPr>
    <w:r>
      <w:rPr>
        <w:sz w:val="18"/>
        <w:szCs w:val="18"/>
        <w:lang w:val="fr-FR"/>
      </w:rPr>
      <w:t>WMO Resources for Trainers</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Titre1"/>
      <w:numFmt w:val="none"/>
      <w:suff w:val="nothing"/>
      <w:lvlText w:val=""/>
      <w:lvlJc w:val="left"/>
      <w:pPr>
        <w:ind w:left="432" w:hanging="432"/>
      </w:pPr>
    </w:lvl>
    <w:lvl w:ilvl="1">
      <w:start w:val="1"/>
      <w:pStyle w:val="Titre2"/>
      <w:numFmt w:val="none"/>
      <w:suff w:val="nothing"/>
      <w:lvlText w:val=""/>
      <w:lvlJc w:val="left"/>
      <w:pPr>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lvl w:ilvl="0">
      <w:start w:val="1"/>
      <w:numFmt w:val="bullet"/>
      <w:suff w:val="space"/>
      <w:lvlText w:val="—"/>
      <w:lvlJc w:val="left"/>
      <w:pPr>
        <w:ind w:left="227" w:hanging="227"/>
      </w:pPr>
      <w:rPr>
        <w:rFonts w:ascii="OpenSymbol" w:hAnsi="OpenSymbol" w:cs="OpenSymbol" w:hint="default"/>
        <w:sz w:val="24"/>
        <w:rFonts w:cs="OpenSymbol"/>
      </w:rPr>
    </w:lvl>
    <w:lvl w:ilvl="1">
      <w:start w:val="1"/>
      <w:numFmt w:val="bullet"/>
      <w:suff w:val="space"/>
      <w:lvlText w:val="—"/>
      <w:lvlJc w:val="left"/>
      <w:pPr>
        <w:ind w:left="454" w:hanging="227"/>
      </w:pPr>
      <w:rPr>
        <w:rFonts w:ascii="OpenSymbol" w:hAnsi="OpenSymbol" w:cs="OpenSymbol" w:hint="default"/>
        <w:rFonts w:cs="OpenSymbol"/>
      </w:rPr>
    </w:lvl>
    <w:lvl w:ilvl="2">
      <w:start w:val="1"/>
      <w:numFmt w:val="bullet"/>
      <w:suff w:val="space"/>
      <w:lvlText w:val="—"/>
      <w:lvlJc w:val="left"/>
      <w:pPr>
        <w:ind w:left="680" w:hanging="227"/>
      </w:pPr>
      <w:rPr>
        <w:rFonts w:ascii="OpenSymbol" w:hAnsi="OpenSymbol" w:cs="OpenSymbol" w:hint="default"/>
        <w:rFonts w:cs="OpenSymbol"/>
      </w:rPr>
    </w:lvl>
    <w:lvl w:ilvl="3">
      <w:start w:val="1"/>
      <w:numFmt w:val="bullet"/>
      <w:suff w:val="space"/>
      <w:lvlText w:val="—"/>
      <w:lvlJc w:val="left"/>
      <w:pPr>
        <w:ind w:left="907" w:hanging="227"/>
      </w:pPr>
      <w:rPr>
        <w:rFonts w:ascii="OpenSymbol" w:hAnsi="OpenSymbol" w:cs="OpenSymbol" w:hint="default"/>
        <w:rFonts w:cs="OpenSymbol"/>
      </w:rPr>
    </w:lvl>
    <w:lvl w:ilvl="4">
      <w:start w:val="1"/>
      <w:numFmt w:val="bullet"/>
      <w:suff w:val="space"/>
      <w:lvlText w:val="—"/>
      <w:lvlJc w:val="left"/>
      <w:pPr>
        <w:ind w:left="1134" w:hanging="227"/>
      </w:pPr>
      <w:rPr>
        <w:rFonts w:ascii="OpenSymbol" w:hAnsi="OpenSymbol" w:cs="OpenSymbol" w:hint="default"/>
        <w:rFonts w:cs="OpenSymbol"/>
      </w:rPr>
    </w:lvl>
    <w:lvl w:ilvl="5">
      <w:start w:val="1"/>
      <w:numFmt w:val="bullet"/>
      <w:suff w:val="space"/>
      <w:lvlText w:val="—"/>
      <w:lvlJc w:val="left"/>
      <w:pPr>
        <w:ind w:left="1361" w:hanging="227"/>
      </w:pPr>
      <w:rPr>
        <w:rFonts w:ascii="OpenSymbol" w:hAnsi="OpenSymbol" w:cs="OpenSymbol" w:hint="default"/>
        <w:rFonts w:cs="OpenSymbol"/>
      </w:rPr>
    </w:lvl>
    <w:lvl w:ilvl="6">
      <w:start w:val="1"/>
      <w:numFmt w:val="bullet"/>
      <w:suff w:val="space"/>
      <w:lvlText w:val="—"/>
      <w:lvlJc w:val="left"/>
      <w:pPr>
        <w:ind w:left="1587" w:hanging="227"/>
      </w:pPr>
      <w:rPr>
        <w:rFonts w:ascii="OpenSymbol" w:hAnsi="OpenSymbol" w:cs="OpenSymbol" w:hint="default"/>
        <w:rFonts w:cs="OpenSymbol"/>
      </w:rPr>
    </w:lvl>
    <w:lvl w:ilvl="7">
      <w:start w:val="1"/>
      <w:numFmt w:val="bullet"/>
      <w:suff w:val="space"/>
      <w:lvlText w:val="—"/>
      <w:lvlJc w:val="left"/>
      <w:pPr>
        <w:ind w:left="1814" w:hanging="227"/>
      </w:pPr>
      <w:rPr>
        <w:rFonts w:ascii="OpenSymbol" w:hAnsi="OpenSymbol" w:cs="OpenSymbol" w:hint="default"/>
        <w:rFonts w:cs="OpenSymbol"/>
      </w:rPr>
    </w:lvl>
    <w:lvl w:ilvl="8">
      <w:start w:val="1"/>
      <w:numFmt w:val="bullet"/>
      <w:suff w:val="space"/>
      <w:lvlText w:val="—"/>
      <w:lvlJc w:val="left"/>
      <w:pPr>
        <w:ind w:left="2041" w:hanging="227"/>
      </w:pPr>
      <w:rPr>
        <w:rFonts w:ascii="OpenSymbol" w:hAnsi="OpenSymbol" w:cs="OpenSymbol" w:hint="default"/>
        <w:rFonts w:cs="OpenSymbol"/>
      </w:rPr>
    </w:lvl>
  </w:abstractNum>
  <w:num w:numId="1">
    <w:abstractNumId w:val="1"/>
  </w:num>
  <w:num w:numId="2">
    <w:abstractNumId w:val="2"/>
  </w:num>
</w:numbering>
</file>

<file path=word/settings.xml><?xml version="1.0" encoding="utf-8"?>
<w:settings xmlns:w="http://schemas.openxmlformats.org/wordprocessingml/2006/main">
  <w:zoom w:percent="100"/>
  <w:displayBackgroundShape/>
  <w:embedSystemFonts/>
  <w:defaultTabStop w:val="720"/>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US" w:eastAsia="x-none" w:bidi="x-non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fr-FR" w:eastAsia="en-US" w:bidi="ar-SA"/>
      </w:rPr>
    </w:rPrDefault>
    <w:pPrDefault>
      <w:pPr/>
    </w:pPrDefault>
  </w:docDefaults>
  <w:latentStyles w:defLockedState="0" w:defUIPriority="99" w:defSemiHidden="0" w:defUnhideWhenUsed="0" w:defQFormat="0" w:count="382">
    <w:lsdException w:name="Normal" w:uiPriority="0" w:qFormat="1"/>
    <w:lsdException w:name="heading 1" w:uiPriority="9" w:qFormat="1"/>
    <w:lsdException w:name="heading 2" w:uiPriority="9"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styleId="Normal" w:default="1">
    <w:name w:val="Normal"/>
    <w:qFormat/>
    <w:pPr>
      <w:widowControl/>
      <w:suppressAutoHyphens w:val="false"/>
      <w:bidi w:val="0"/>
      <w:spacing w:lineRule="atLeast" w:line="280"/>
      <w:jc w:val="both"/>
    </w:pPr>
    <w:rPr>
      <w:rFonts w:ascii="Arial" w:hAnsi="Arial" w:eastAsia="Times New Roman" w:cs="Arial"/>
      <w:color w:val="00000A"/>
      <w:sz w:val="22"/>
      <w:szCs w:val="22"/>
      <w:lang w:val="fr-FR" w:eastAsia="zh-CN" w:bidi="ar-SA"/>
    </w:rPr>
  </w:style>
  <w:style w:type="paragraph" w:styleId="Titre1">
    <w:name w:val="Heading 1"/>
    <w:basedOn w:val="Normal"/>
    <w:qFormat/>
    <w:pPr>
      <w:numPr>
        <w:ilvl w:val="0"/>
        <w:numId w:val="1"/>
      </w:numPr>
      <w:spacing w:before="280" w:after="280"/>
      <w:outlineLvl w:val="0"/>
      <w:outlineLvl w:val="0"/>
    </w:pPr>
    <w:rPr>
      <w:rFonts w:ascii="Times New Roman" w:hAnsi="Times New Roman" w:cs="Times New Roman"/>
      <w:b/>
      <w:bCs/>
      <w:sz w:val="48"/>
      <w:szCs w:val="48"/>
    </w:rPr>
  </w:style>
  <w:style w:type="paragraph" w:styleId="Titre2">
    <w:name w:val="Heading 2"/>
    <w:basedOn w:val="Normal"/>
    <w:qFormat/>
    <w:pPr>
      <w:numPr>
        <w:ilvl w:val="1"/>
        <w:numId w:val="1"/>
      </w:numPr>
      <w:spacing w:before="280" w:after="280"/>
      <w:outlineLvl w:val="1"/>
      <w:outlineLvl w:val="1"/>
    </w:pPr>
    <w:rPr>
      <w:rFonts w:ascii="Times New Roman" w:hAnsi="Times New Roman" w:cs="Times New Roman"/>
      <w:b/>
      <w:bCs/>
      <w:sz w:val="36"/>
      <w:szCs w:val="36"/>
    </w:rPr>
  </w:style>
  <w:style w:type="character" w:styleId="DefaultParagraphFont" w:default="1">
    <w:name w:val="Default Paragraph Font"/>
    <w:uiPriority w:val="1"/>
    <w:semiHidden/>
    <w:unhideWhenUsed/>
    <w:qFormat/>
    <w:rPr/>
  </w:style>
  <w:style w:type="character" w:styleId="WW8Num1z0" w:customStyle="1">
    <w:name w:val="WW8Num1z0"/>
    <w:qFormat/>
    <w:rPr>
      <w:rFonts w:ascii="Symbol" w:hAnsi="Symbol" w:cs="Symbol"/>
      <w:sz w:val="20"/>
    </w:rPr>
  </w:style>
  <w:style w:type="character" w:styleId="WW8Num1z1" w:customStyle="1">
    <w:name w:val="WW8Num1z1"/>
    <w:qFormat/>
    <w:rPr>
      <w:rFonts w:ascii="Courier New" w:hAnsi="Courier New" w:cs="Courier New"/>
      <w:sz w:val="20"/>
    </w:rPr>
  </w:style>
  <w:style w:type="character" w:styleId="WW8Num1z2" w:customStyle="1">
    <w:name w:val="WW8Num1z2"/>
    <w:qFormat/>
    <w:rPr>
      <w:rFonts w:ascii="Wingdings" w:hAnsi="Wingdings" w:cs="Wingdings"/>
      <w:sz w:val="20"/>
    </w:rPr>
  </w:style>
  <w:style w:type="character" w:styleId="WW8Num2z0" w:customStyle="1">
    <w:name w:val="WW8Num2z0"/>
    <w:qFormat/>
    <w:rPr>
      <w:rFonts w:ascii="Symbol" w:hAnsi="Symbol" w:cs="Symbol"/>
      <w:sz w:val="20"/>
    </w:rPr>
  </w:style>
  <w:style w:type="character" w:styleId="WW8Num2z1" w:customStyle="1">
    <w:name w:val="WW8Num2z1"/>
    <w:qFormat/>
    <w:rPr>
      <w:rFonts w:ascii="Courier New" w:hAnsi="Courier New" w:cs="Courier New"/>
      <w:sz w:val="20"/>
    </w:rPr>
  </w:style>
  <w:style w:type="character" w:styleId="WW8Num2z2" w:customStyle="1">
    <w:name w:val="WW8Num2z2"/>
    <w:qFormat/>
    <w:rPr>
      <w:rFonts w:ascii="Wingdings" w:hAnsi="Wingdings" w:cs="Wingdings"/>
      <w:sz w:val="20"/>
    </w:rPr>
  </w:style>
  <w:style w:type="character" w:styleId="WW8Num4z0" w:customStyle="1">
    <w:name w:val="WW8Num4z0"/>
    <w:qFormat/>
    <w:rPr>
      <w:rFonts w:ascii="Symbol" w:hAnsi="Symbol" w:cs="Symbol"/>
      <w:sz w:val="20"/>
    </w:rPr>
  </w:style>
  <w:style w:type="character" w:styleId="WW8Num4z1" w:customStyle="1">
    <w:name w:val="WW8Num4z1"/>
    <w:qFormat/>
    <w:rPr>
      <w:rFonts w:ascii="Courier New" w:hAnsi="Courier New" w:cs="Courier New"/>
      <w:sz w:val="20"/>
    </w:rPr>
  </w:style>
  <w:style w:type="character" w:styleId="WW8Num4z2" w:customStyle="1">
    <w:name w:val="WW8Num4z2"/>
    <w:qFormat/>
    <w:rPr>
      <w:rFonts w:ascii="Wingdings" w:hAnsi="Wingdings" w:cs="Wingdings"/>
      <w:sz w:val="20"/>
    </w:rPr>
  </w:style>
  <w:style w:type="character" w:styleId="WW8Num5z0" w:customStyle="1">
    <w:name w:val="WW8Num5z0"/>
    <w:qFormat/>
    <w:rPr>
      <w:rFonts w:ascii="Symbol" w:hAnsi="Symbol" w:cs="Symbol"/>
      <w:sz w:val="20"/>
    </w:rPr>
  </w:style>
  <w:style w:type="character" w:styleId="WW8Num5z1" w:customStyle="1">
    <w:name w:val="WW8Num5z1"/>
    <w:qFormat/>
    <w:rPr>
      <w:rFonts w:ascii="Courier New" w:hAnsi="Courier New" w:cs="Courier New"/>
      <w:sz w:val="20"/>
    </w:rPr>
  </w:style>
  <w:style w:type="character" w:styleId="WW8Num5z2" w:customStyle="1">
    <w:name w:val="WW8Num5z2"/>
    <w:qFormat/>
    <w:rPr>
      <w:rFonts w:ascii="Wingdings" w:hAnsi="Wingdings" w:cs="Wingdings"/>
      <w:sz w:val="20"/>
    </w:rPr>
  </w:style>
  <w:style w:type="character" w:styleId="WW8Num6z0" w:customStyle="1">
    <w:name w:val="WW8Num6z0"/>
    <w:qFormat/>
    <w:rPr>
      <w:rFonts w:ascii="Symbol" w:hAnsi="Symbol" w:cs="Symbol"/>
      <w:sz w:val="20"/>
    </w:rPr>
  </w:style>
  <w:style w:type="character" w:styleId="WW8Num6z1" w:customStyle="1">
    <w:name w:val="WW8Num6z1"/>
    <w:qFormat/>
    <w:rPr>
      <w:rFonts w:ascii="Courier New" w:hAnsi="Courier New" w:cs="Courier New"/>
      <w:sz w:val="20"/>
    </w:rPr>
  </w:style>
  <w:style w:type="character" w:styleId="WW8Num6z2" w:customStyle="1">
    <w:name w:val="WW8Num6z2"/>
    <w:qFormat/>
    <w:rPr>
      <w:rFonts w:ascii="Wingdings" w:hAnsi="Wingdings" w:cs="Wingdings"/>
      <w:sz w:val="20"/>
    </w:rPr>
  </w:style>
  <w:style w:type="character" w:styleId="WW8Num7z0" w:customStyle="1">
    <w:name w:val="WW8Num7z0"/>
    <w:qFormat/>
    <w:rPr>
      <w:rFonts w:ascii="Symbol" w:hAnsi="Symbol" w:cs="Symbol"/>
      <w:sz w:val="20"/>
    </w:rPr>
  </w:style>
  <w:style w:type="character" w:styleId="WW8Num7z1" w:customStyle="1">
    <w:name w:val="WW8Num7z1"/>
    <w:qFormat/>
    <w:rPr>
      <w:rFonts w:ascii="Courier New" w:hAnsi="Courier New" w:cs="Courier New"/>
      <w:sz w:val="20"/>
    </w:rPr>
  </w:style>
  <w:style w:type="character" w:styleId="WW8Num7z2" w:customStyle="1">
    <w:name w:val="WW8Num7z2"/>
    <w:qFormat/>
    <w:rPr>
      <w:rFonts w:ascii="Wingdings" w:hAnsi="Wingdings" w:cs="Wingdings"/>
      <w:sz w:val="20"/>
    </w:rPr>
  </w:style>
  <w:style w:type="character" w:styleId="WW8Num8z0" w:customStyle="1">
    <w:name w:val="WW8Num8z0"/>
    <w:qFormat/>
    <w:rPr>
      <w:rFonts w:ascii="Symbol" w:hAnsi="Symbol" w:cs="Symbol"/>
      <w:sz w:val="20"/>
    </w:rPr>
  </w:style>
  <w:style w:type="character" w:styleId="WW8Num8z1" w:customStyle="1">
    <w:name w:val="WW8Num8z1"/>
    <w:qFormat/>
    <w:rPr>
      <w:rFonts w:ascii="Courier New" w:hAnsi="Courier New" w:cs="Courier New"/>
      <w:sz w:val="20"/>
    </w:rPr>
  </w:style>
  <w:style w:type="character" w:styleId="WW8Num8z2" w:customStyle="1">
    <w:name w:val="WW8Num8z2"/>
    <w:qFormat/>
    <w:rPr>
      <w:rFonts w:ascii="Wingdings" w:hAnsi="Wingdings" w:cs="Wingdings"/>
      <w:sz w:val="20"/>
    </w:rPr>
  </w:style>
  <w:style w:type="character" w:styleId="WW8Num9z0" w:customStyle="1">
    <w:name w:val="WW8Num9z0"/>
    <w:qFormat/>
    <w:rPr>
      <w:rFonts w:ascii="Symbol" w:hAnsi="Symbol" w:cs="Symbol"/>
      <w:sz w:val="20"/>
    </w:rPr>
  </w:style>
  <w:style w:type="character" w:styleId="WW8Num9z1" w:customStyle="1">
    <w:name w:val="WW8Num9z1"/>
    <w:qFormat/>
    <w:rPr>
      <w:rFonts w:ascii="Courier New" w:hAnsi="Courier New" w:cs="Courier New"/>
      <w:sz w:val="20"/>
    </w:rPr>
  </w:style>
  <w:style w:type="character" w:styleId="WW8Num9z2" w:customStyle="1">
    <w:name w:val="WW8Num9z2"/>
    <w:qFormat/>
    <w:rPr>
      <w:rFonts w:ascii="Wingdings" w:hAnsi="Wingdings" w:cs="Wingdings"/>
      <w:sz w:val="20"/>
    </w:rPr>
  </w:style>
  <w:style w:type="character" w:styleId="WW8Num10z0" w:customStyle="1">
    <w:name w:val="WW8Num10z0"/>
    <w:qFormat/>
    <w:rPr>
      <w:rFonts w:ascii="Symbol" w:hAnsi="Symbol" w:cs="Symbol"/>
      <w:sz w:val="20"/>
    </w:rPr>
  </w:style>
  <w:style w:type="character" w:styleId="WW8Num10z1" w:customStyle="1">
    <w:name w:val="WW8Num10z1"/>
    <w:qFormat/>
    <w:rPr>
      <w:rFonts w:ascii="Courier New" w:hAnsi="Courier New" w:cs="Courier New"/>
      <w:sz w:val="20"/>
    </w:rPr>
  </w:style>
  <w:style w:type="character" w:styleId="WW8Num10z2" w:customStyle="1">
    <w:name w:val="WW8Num10z2"/>
    <w:qFormat/>
    <w:rPr>
      <w:rFonts w:ascii="Wingdings" w:hAnsi="Wingdings" w:cs="Wingdings"/>
      <w:sz w:val="20"/>
    </w:rPr>
  </w:style>
  <w:style w:type="character" w:styleId="WW8Num11z0" w:customStyle="1">
    <w:name w:val="WW8Num11z0"/>
    <w:qFormat/>
    <w:rPr>
      <w:rFonts w:ascii="Symbol" w:hAnsi="Symbol" w:cs="Symbol"/>
      <w:sz w:val="20"/>
    </w:rPr>
  </w:style>
  <w:style w:type="character" w:styleId="WW8Num11z1" w:customStyle="1">
    <w:name w:val="WW8Num11z1"/>
    <w:qFormat/>
    <w:rPr>
      <w:rFonts w:ascii="Courier New" w:hAnsi="Courier New" w:cs="Courier New"/>
      <w:sz w:val="20"/>
    </w:rPr>
  </w:style>
  <w:style w:type="character" w:styleId="WW8Num11z2" w:customStyle="1">
    <w:name w:val="WW8Num11z2"/>
    <w:qFormat/>
    <w:rPr>
      <w:rFonts w:ascii="Wingdings" w:hAnsi="Wingdings" w:cs="Wingdings"/>
      <w:sz w:val="20"/>
    </w:rPr>
  </w:style>
  <w:style w:type="character" w:styleId="WW8Num12z0" w:customStyle="1">
    <w:name w:val="WW8Num12z0"/>
    <w:qFormat/>
    <w:rPr>
      <w:rFonts w:ascii="Symbol" w:hAnsi="Symbol" w:cs="Symbol"/>
      <w:sz w:val="20"/>
    </w:rPr>
  </w:style>
  <w:style w:type="character" w:styleId="WW8Num12z1" w:customStyle="1">
    <w:name w:val="WW8Num12z1"/>
    <w:qFormat/>
    <w:rPr>
      <w:rFonts w:ascii="Courier New" w:hAnsi="Courier New" w:cs="Courier New"/>
      <w:sz w:val="20"/>
    </w:rPr>
  </w:style>
  <w:style w:type="character" w:styleId="WW8Num12z2" w:customStyle="1">
    <w:name w:val="WW8Num12z2"/>
    <w:qFormat/>
    <w:rPr>
      <w:rFonts w:ascii="Wingdings" w:hAnsi="Wingdings" w:cs="Wingdings"/>
      <w:sz w:val="20"/>
    </w:rPr>
  </w:style>
  <w:style w:type="character" w:styleId="WW8Num13z0" w:customStyle="1">
    <w:name w:val="WW8Num13z0"/>
    <w:qFormat/>
    <w:rPr>
      <w:rFonts w:ascii="Symbol" w:hAnsi="Symbol" w:cs="Symbol"/>
      <w:sz w:val="20"/>
    </w:rPr>
  </w:style>
  <w:style w:type="character" w:styleId="WW8Num13z1" w:customStyle="1">
    <w:name w:val="WW8Num13z1"/>
    <w:qFormat/>
    <w:rPr>
      <w:rFonts w:ascii="Courier New" w:hAnsi="Courier New" w:cs="Courier New"/>
      <w:sz w:val="20"/>
    </w:rPr>
  </w:style>
  <w:style w:type="character" w:styleId="WW8Num13z2" w:customStyle="1">
    <w:name w:val="WW8Num13z2"/>
    <w:qFormat/>
    <w:rPr>
      <w:rFonts w:ascii="Wingdings" w:hAnsi="Wingdings" w:cs="Wingdings"/>
      <w:sz w:val="20"/>
    </w:rPr>
  </w:style>
  <w:style w:type="character" w:styleId="WW8Num14z0" w:customStyle="1">
    <w:name w:val="WW8Num14z0"/>
    <w:qFormat/>
    <w:rPr>
      <w:rFonts w:ascii="Symbol" w:hAnsi="Symbol" w:cs="Symbol"/>
    </w:rPr>
  </w:style>
  <w:style w:type="character" w:styleId="WW8Num14z1" w:customStyle="1">
    <w:name w:val="WW8Num14z1"/>
    <w:qFormat/>
    <w:rPr>
      <w:rFonts w:ascii="Courier New" w:hAnsi="Courier New" w:cs="Courier New"/>
    </w:rPr>
  </w:style>
  <w:style w:type="character" w:styleId="WW8Num14z2" w:customStyle="1">
    <w:name w:val="WW8Num14z2"/>
    <w:qFormat/>
    <w:rPr>
      <w:rFonts w:ascii="Wingdings" w:hAnsi="Wingdings" w:cs="Wingdings"/>
    </w:rPr>
  </w:style>
  <w:style w:type="character" w:styleId="WW8Num15z0" w:customStyle="1">
    <w:name w:val="WW8Num15z0"/>
    <w:qFormat/>
    <w:rPr>
      <w:rFonts w:ascii="Symbol" w:hAnsi="Symbol" w:cs="Symbol"/>
      <w:sz w:val="20"/>
    </w:rPr>
  </w:style>
  <w:style w:type="character" w:styleId="WW8Num15z1" w:customStyle="1">
    <w:name w:val="WW8Num15z1"/>
    <w:qFormat/>
    <w:rPr>
      <w:rFonts w:ascii="Courier New" w:hAnsi="Courier New" w:cs="Courier New"/>
      <w:sz w:val="20"/>
    </w:rPr>
  </w:style>
  <w:style w:type="character" w:styleId="WW8Num15z2" w:customStyle="1">
    <w:name w:val="WW8Num15z2"/>
    <w:qFormat/>
    <w:rPr>
      <w:rFonts w:ascii="Wingdings" w:hAnsi="Wingdings" w:cs="Wingdings"/>
      <w:sz w:val="20"/>
    </w:rPr>
  </w:style>
  <w:style w:type="character" w:styleId="WW8Num16z0" w:customStyle="1">
    <w:name w:val="WW8Num16z0"/>
    <w:qFormat/>
    <w:rPr>
      <w:rFonts w:ascii="Symbol" w:hAnsi="Symbol" w:cs="Symbol"/>
      <w:sz w:val="20"/>
    </w:rPr>
  </w:style>
  <w:style w:type="character" w:styleId="WW8Num16z1" w:customStyle="1">
    <w:name w:val="WW8Num16z1"/>
    <w:qFormat/>
    <w:rPr>
      <w:rFonts w:ascii="Courier New" w:hAnsi="Courier New" w:cs="Courier New"/>
      <w:sz w:val="20"/>
    </w:rPr>
  </w:style>
  <w:style w:type="character" w:styleId="WW8Num16z2" w:customStyle="1">
    <w:name w:val="WW8Num16z2"/>
    <w:qFormat/>
    <w:rPr>
      <w:rFonts w:ascii="Wingdings" w:hAnsi="Wingdings" w:cs="Wingdings"/>
      <w:sz w:val="20"/>
    </w:rPr>
  </w:style>
  <w:style w:type="character" w:styleId="WW8Num17z0" w:customStyle="1">
    <w:name w:val="WW8Num17z0"/>
    <w:qFormat/>
    <w:rPr>
      <w:rFonts w:ascii="Symbol" w:hAnsi="Symbol" w:cs="Symbol"/>
      <w:sz w:val="20"/>
    </w:rPr>
  </w:style>
  <w:style w:type="character" w:styleId="WW8Num17z1" w:customStyle="1">
    <w:name w:val="WW8Num17z1"/>
    <w:qFormat/>
    <w:rPr>
      <w:rFonts w:ascii="Courier New" w:hAnsi="Courier New" w:cs="Courier New"/>
      <w:sz w:val="20"/>
    </w:rPr>
  </w:style>
  <w:style w:type="character" w:styleId="WW8Num17z2" w:customStyle="1">
    <w:name w:val="WW8Num17z2"/>
    <w:qFormat/>
    <w:rPr>
      <w:rFonts w:ascii="Wingdings" w:hAnsi="Wingdings" w:cs="Wingdings"/>
      <w:sz w:val="20"/>
    </w:rPr>
  </w:style>
  <w:style w:type="character" w:styleId="WW8Num18z0" w:customStyle="1">
    <w:name w:val="WW8Num18z0"/>
    <w:qFormat/>
    <w:rPr>
      <w:rFonts w:ascii="Symbol" w:hAnsi="Symbol" w:cs="Symbol"/>
      <w:sz w:val="20"/>
    </w:rPr>
  </w:style>
  <w:style w:type="character" w:styleId="WW8Num18z1" w:customStyle="1">
    <w:name w:val="WW8Num18z1"/>
    <w:qFormat/>
    <w:rPr>
      <w:rFonts w:ascii="Courier New" w:hAnsi="Courier New" w:cs="Courier New"/>
      <w:sz w:val="20"/>
    </w:rPr>
  </w:style>
  <w:style w:type="character" w:styleId="WW8Num18z2" w:customStyle="1">
    <w:name w:val="WW8Num18z2"/>
    <w:qFormat/>
    <w:rPr>
      <w:rFonts w:ascii="Wingdings" w:hAnsi="Wingdings" w:cs="Wingdings"/>
      <w:sz w:val="20"/>
    </w:rPr>
  </w:style>
  <w:style w:type="character" w:styleId="WW8Num19z0" w:customStyle="1">
    <w:name w:val="WW8Num19z0"/>
    <w:qFormat/>
    <w:rPr>
      <w:rFonts w:ascii="Symbol" w:hAnsi="Symbol" w:cs="Symbol"/>
      <w:sz w:val="20"/>
    </w:rPr>
  </w:style>
  <w:style w:type="character" w:styleId="WW8Num19z1" w:customStyle="1">
    <w:name w:val="WW8Num19z1"/>
    <w:qFormat/>
    <w:rPr>
      <w:rFonts w:ascii="Courier New" w:hAnsi="Courier New" w:cs="Courier New"/>
      <w:sz w:val="20"/>
    </w:rPr>
  </w:style>
  <w:style w:type="character" w:styleId="WW8Num19z2" w:customStyle="1">
    <w:name w:val="WW8Num19z2"/>
    <w:qFormat/>
    <w:rPr>
      <w:rFonts w:ascii="Wingdings" w:hAnsi="Wingdings" w:cs="Wingdings"/>
      <w:sz w:val="20"/>
    </w:rPr>
  </w:style>
  <w:style w:type="character" w:styleId="WW8Num20z0" w:customStyle="1">
    <w:name w:val="WW8Num20z0"/>
    <w:qFormat/>
    <w:rPr>
      <w:rFonts w:ascii="Symbol" w:hAnsi="Symbol" w:cs="Symbol"/>
      <w:sz w:val="20"/>
    </w:rPr>
  </w:style>
  <w:style w:type="character" w:styleId="WW8Num20z1" w:customStyle="1">
    <w:name w:val="WW8Num20z1"/>
    <w:qFormat/>
    <w:rPr>
      <w:rFonts w:ascii="Courier New" w:hAnsi="Courier New" w:cs="Courier New"/>
      <w:sz w:val="20"/>
    </w:rPr>
  </w:style>
  <w:style w:type="character" w:styleId="WW8Num20z2" w:customStyle="1">
    <w:name w:val="WW8Num20z2"/>
    <w:qFormat/>
    <w:rPr>
      <w:rFonts w:ascii="Wingdings" w:hAnsi="Wingdings" w:cs="Wingdings"/>
      <w:sz w:val="20"/>
    </w:rPr>
  </w:style>
  <w:style w:type="character" w:styleId="WW8Num21z0" w:customStyle="1">
    <w:name w:val="WW8Num21z0"/>
    <w:qFormat/>
    <w:rPr>
      <w:rFonts w:ascii="Symbol" w:hAnsi="Symbol" w:cs="Symbol"/>
    </w:rPr>
  </w:style>
  <w:style w:type="character" w:styleId="WW8Num21z1" w:customStyle="1">
    <w:name w:val="WW8Num21z1"/>
    <w:qFormat/>
    <w:rPr>
      <w:rFonts w:ascii="Courier New" w:hAnsi="Courier New" w:cs="Courier New"/>
    </w:rPr>
  </w:style>
  <w:style w:type="character" w:styleId="WW8Num21z2" w:customStyle="1">
    <w:name w:val="WW8Num21z2"/>
    <w:qFormat/>
    <w:rPr>
      <w:rFonts w:ascii="Wingdings" w:hAnsi="Wingdings" w:cs="Wingdings"/>
    </w:rPr>
  </w:style>
  <w:style w:type="character" w:styleId="WW8Num22z0" w:customStyle="1">
    <w:name w:val="WW8Num22z0"/>
    <w:qFormat/>
    <w:rPr>
      <w:rFonts w:ascii="Symbol" w:hAnsi="Symbol" w:cs="Symbol"/>
      <w:sz w:val="20"/>
    </w:rPr>
  </w:style>
  <w:style w:type="character" w:styleId="WW8Num22z1" w:customStyle="1">
    <w:name w:val="WW8Num22z1"/>
    <w:qFormat/>
    <w:rPr>
      <w:rFonts w:ascii="Courier New" w:hAnsi="Courier New" w:cs="Courier New"/>
      <w:sz w:val="20"/>
    </w:rPr>
  </w:style>
  <w:style w:type="character" w:styleId="WW8Num22z2" w:customStyle="1">
    <w:name w:val="WW8Num22z2"/>
    <w:qFormat/>
    <w:rPr>
      <w:rFonts w:ascii="Wingdings" w:hAnsi="Wingdings" w:cs="Wingdings"/>
      <w:sz w:val="20"/>
    </w:rPr>
  </w:style>
  <w:style w:type="character" w:styleId="WW8Num23z0" w:customStyle="1">
    <w:name w:val="WW8Num23z0"/>
    <w:qFormat/>
    <w:rPr>
      <w:rFonts w:ascii="Symbol" w:hAnsi="Symbol" w:cs="Symbol"/>
      <w:sz w:val="20"/>
    </w:rPr>
  </w:style>
  <w:style w:type="character" w:styleId="WW8Num23z1" w:customStyle="1">
    <w:name w:val="WW8Num23z1"/>
    <w:qFormat/>
    <w:rPr>
      <w:rFonts w:ascii="Courier New" w:hAnsi="Courier New" w:cs="Courier New"/>
      <w:sz w:val="20"/>
    </w:rPr>
  </w:style>
  <w:style w:type="character" w:styleId="WW8Num23z2" w:customStyle="1">
    <w:name w:val="WW8Num23z2"/>
    <w:qFormat/>
    <w:rPr>
      <w:rFonts w:ascii="Wingdings" w:hAnsi="Wingdings" w:cs="Wingdings"/>
      <w:sz w:val="20"/>
    </w:rPr>
  </w:style>
  <w:style w:type="character" w:styleId="WW8Num24z0" w:customStyle="1">
    <w:name w:val="WW8Num24z0"/>
    <w:qFormat/>
    <w:rPr>
      <w:rFonts w:ascii="Symbol" w:hAnsi="Symbol" w:cs="Symbol"/>
      <w:sz w:val="20"/>
    </w:rPr>
  </w:style>
  <w:style w:type="character" w:styleId="WW8Num24z1" w:customStyle="1">
    <w:name w:val="WW8Num24z1"/>
    <w:qFormat/>
    <w:rPr>
      <w:rFonts w:ascii="Courier New" w:hAnsi="Courier New" w:cs="Courier New"/>
      <w:sz w:val="20"/>
    </w:rPr>
  </w:style>
  <w:style w:type="character" w:styleId="WW8Num24z2" w:customStyle="1">
    <w:name w:val="WW8Num24z2"/>
    <w:qFormat/>
    <w:rPr>
      <w:rFonts w:ascii="Wingdings" w:hAnsi="Wingdings" w:cs="Wingdings"/>
      <w:sz w:val="20"/>
    </w:rPr>
  </w:style>
  <w:style w:type="character" w:styleId="WW8Num25z0" w:customStyle="1">
    <w:name w:val="WW8Num25z0"/>
    <w:qFormat/>
    <w:rPr>
      <w:rFonts w:ascii="Symbol" w:hAnsi="Symbol" w:cs="Symbol"/>
    </w:rPr>
  </w:style>
  <w:style w:type="character" w:styleId="WW8Num25z1" w:customStyle="1">
    <w:name w:val="WW8Num25z1"/>
    <w:qFormat/>
    <w:rPr>
      <w:rFonts w:ascii="Courier New" w:hAnsi="Courier New" w:cs="Courier New"/>
    </w:rPr>
  </w:style>
  <w:style w:type="character" w:styleId="WW8Num25z2" w:customStyle="1">
    <w:name w:val="WW8Num25z2"/>
    <w:qFormat/>
    <w:rPr>
      <w:rFonts w:ascii="Wingdings" w:hAnsi="Wingdings" w:cs="Wingdings"/>
    </w:rPr>
  </w:style>
  <w:style w:type="character" w:styleId="WW8Num26z0" w:customStyle="1">
    <w:name w:val="WW8Num26z0"/>
    <w:qFormat/>
    <w:rPr>
      <w:rFonts w:ascii="Symbol" w:hAnsi="Symbol" w:cs="Symbol"/>
      <w:sz w:val="20"/>
    </w:rPr>
  </w:style>
  <w:style w:type="character" w:styleId="WW8Num26z1" w:customStyle="1">
    <w:name w:val="WW8Num26z1"/>
    <w:qFormat/>
    <w:rPr>
      <w:rFonts w:ascii="Courier New" w:hAnsi="Courier New" w:cs="Courier New"/>
      <w:sz w:val="20"/>
    </w:rPr>
  </w:style>
  <w:style w:type="character" w:styleId="WW8Num26z2" w:customStyle="1">
    <w:name w:val="WW8Num26z2"/>
    <w:qFormat/>
    <w:rPr>
      <w:rFonts w:ascii="Wingdings" w:hAnsi="Wingdings" w:cs="Wingdings"/>
      <w:sz w:val="20"/>
    </w:rPr>
  </w:style>
  <w:style w:type="character" w:styleId="WW8Num27z0" w:customStyle="1">
    <w:name w:val="WW8Num27z0"/>
    <w:qFormat/>
    <w:rPr>
      <w:rFonts w:ascii="Symbol" w:hAnsi="Symbol" w:cs="Symbol"/>
      <w:sz w:val="20"/>
    </w:rPr>
  </w:style>
  <w:style w:type="character" w:styleId="WW8Num27z1" w:customStyle="1">
    <w:name w:val="WW8Num27z1"/>
    <w:qFormat/>
    <w:rPr>
      <w:rFonts w:ascii="Courier New" w:hAnsi="Courier New" w:cs="Courier New"/>
      <w:sz w:val="20"/>
    </w:rPr>
  </w:style>
  <w:style w:type="character" w:styleId="WW8Num27z2" w:customStyle="1">
    <w:name w:val="WW8Num27z2"/>
    <w:qFormat/>
    <w:rPr>
      <w:rFonts w:ascii="Wingdings" w:hAnsi="Wingdings" w:cs="Wingdings"/>
      <w:sz w:val="20"/>
    </w:rPr>
  </w:style>
  <w:style w:type="character" w:styleId="WW8Num28z0" w:customStyle="1">
    <w:name w:val="WW8Num28z0"/>
    <w:qFormat/>
    <w:rPr>
      <w:rFonts w:ascii="Symbol" w:hAnsi="Symbol" w:cs="Symbol"/>
      <w:sz w:val="20"/>
    </w:rPr>
  </w:style>
  <w:style w:type="character" w:styleId="WW8Num28z1" w:customStyle="1">
    <w:name w:val="WW8Num28z1"/>
    <w:qFormat/>
    <w:rPr>
      <w:rFonts w:ascii="Courier New" w:hAnsi="Courier New" w:cs="Courier New"/>
      <w:sz w:val="20"/>
    </w:rPr>
  </w:style>
  <w:style w:type="character" w:styleId="WW8Num28z2" w:customStyle="1">
    <w:name w:val="WW8Num28z2"/>
    <w:qFormat/>
    <w:rPr>
      <w:rFonts w:ascii="Wingdings" w:hAnsi="Wingdings" w:cs="Wingdings"/>
      <w:sz w:val="20"/>
    </w:rPr>
  </w:style>
  <w:style w:type="character" w:styleId="WW8Num29z0" w:customStyle="1">
    <w:name w:val="WW8Num29z0"/>
    <w:qFormat/>
    <w:rPr>
      <w:rFonts w:ascii="Symbol" w:hAnsi="Symbol" w:cs="Symbol"/>
      <w:sz w:val="20"/>
    </w:rPr>
  </w:style>
  <w:style w:type="character" w:styleId="WW8Num29z1" w:customStyle="1">
    <w:name w:val="WW8Num29z1"/>
    <w:qFormat/>
    <w:rPr>
      <w:rFonts w:ascii="Courier New" w:hAnsi="Courier New" w:cs="Courier New"/>
      <w:sz w:val="20"/>
    </w:rPr>
  </w:style>
  <w:style w:type="character" w:styleId="WW8Num29z2" w:customStyle="1">
    <w:name w:val="WW8Num29z2"/>
    <w:qFormat/>
    <w:rPr>
      <w:rFonts w:ascii="Wingdings" w:hAnsi="Wingdings" w:cs="Wingdings"/>
      <w:sz w:val="20"/>
    </w:rPr>
  </w:style>
  <w:style w:type="character" w:styleId="WW8Num30z0" w:customStyle="1">
    <w:name w:val="WW8Num30z0"/>
    <w:qFormat/>
    <w:rPr>
      <w:rFonts w:ascii="Symbol" w:hAnsi="Symbol" w:cs="Symbol"/>
      <w:sz w:val="20"/>
    </w:rPr>
  </w:style>
  <w:style w:type="character" w:styleId="WW8Num30z1" w:customStyle="1">
    <w:name w:val="WW8Num30z1"/>
    <w:qFormat/>
    <w:rPr>
      <w:rFonts w:ascii="Courier New" w:hAnsi="Courier New" w:cs="Courier New"/>
      <w:sz w:val="20"/>
    </w:rPr>
  </w:style>
  <w:style w:type="character" w:styleId="WW8Num30z2" w:customStyle="1">
    <w:name w:val="WW8Num30z2"/>
    <w:qFormat/>
    <w:rPr>
      <w:rFonts w:ascii="Wingdings" w:hAnsi="Wingdings" w:cs="Wingdings"/>
      <w:sz w:val="20"/>
    </w:rPr>
  </w:style>
  <w:style w:type="character" w:styleId="WW8Num31z0" w:customStyle="1">
    <w:name w:val="WW8Num31z0"/>
    <w:qFormat/>
    <w:rPr>
      <w:rFonts w:ascii="Symbol" w:hAnsi="Symbol" w:cs="Symbol"/>
      <w:sz w:val="20"/>
    </w:rPr>
  </w:style>
  <w:style w:type="character" w:styleId="WW8Num31z1" w:customStyle="1">
    <w:name w:val="WW8Num31z1"/>
    <w:qFormat/>
    <w:rPr>
      <w:rFonts w:ascii="Courier New" w:hAnsi="Courier New" w:cs="Courier New"/>
      <w:sz w:val="20"/>
    </w:rPr>
  </w:style>
  <w:style w:type="character" w:styleId="WW8Num31z2" w:customStyle="1">
    <w:name w:val="WW8Num31z2"/>
    <w:qFormat/>
    <w:rPr>
      <w:rFonts w:ascii="Wingdings" w:hAnsi="Wingdings" w:cs="Wingdings"/>
      <w:sz w:val="20"/>
    </w:rPr>
  </w:style>
  <w:style w:type="character" w:styleId="WW8Num32z0" w:customStyle="1">
    <w:name w:val="WW8Num32z0"/>
    <w:qFormat/>
    <w:rPr>
      <w:rFonts w:ascii="Symbol" w:hAnsi="Symbol" w:cs="Symbol"/>
      <w:sz w:val="20"/>
    </w:rPr>
  </w:style>
  <w:style w:type="character" w:styleId="WW8Num32z1" w:customStyle="1">
    <w:name w:val="WW8Num32z1"/>
    <w:qFormat/>
    <w:rPr>
      <w:rFonts w:ascii="Courier New" w:hAnsi="Courier New" w:cs="Courier New"/>
      <w:sz w:val="20"/>
    </w:rPr>
  </w:style>
  <w:style w:type="character" w:styleId="WW8Num32z2" w:customStyle="1">
    <w:name w:val="WW8Num32z2"/>
    <w:qFormat/>
    <w:rPr>
      <w:rFonts w:ascii="Wingdings" w:hAnsi="Wingdings" w:cs="Wingdings"/>
      <w:sz w:val="20"/>
    </w:rPr>
  </w:style>
  <w:style w:type="character" w:styleId="WW8Num33z0" w:customStyle="1">
    <w:name w:val="WW8Num33z0"/>
    <w:qFormat/>
    <w:rPr>
      <w:rFonts w:ascii="Symbol" w:hAnsi="Symbol" w:cs="Symbol"/>
      <w:sz w:val="20"/>
    </w:rPr>
  </w:style>
  <w:style w:type="character" w:styleId="WW8Num33z1" w:customStyle="1">
    <w:name w:val="WW8Num33z1"/>
    <w:qFormat/>
    <w:rPr>
      <w:rFonts w:ascii="Courier New" w:hAnsi="Courier New" w:cs="Courier New"/>
      <w:sz w:val="20"/>
    </w:rPr>
  </w:style>
  <w:style w:type="character" w:styleId="WW8Num33z2" w:customStyle="1">
    <w:name w:val="WW8Num33z2"/>
    <w:qFormat/>
    <w:rPr>
      <w:rFonts w:ascii="Wingdings" w:hAnsi="Wingdings" w:cs="Wingdings"/>
      <w:sz w:val="20"/>
    </w:rPr>
  </w:style>
  <w:style w:type="character" w:styleId="WW8Num34z0" w:customStyle="1">
    <w:name w:val="WW8Num34z0"/>
    <w:qFormat/>
    <w:rPr>
      <w:rFonts w:ascii="Symbol" w:hAnsi="Symbol" w:cs="Symbol"/>
      <w:sz w:val="20"/>
    </w:rPr>
  </w:style>
  <w:style w:type="character" w:styleId="WW8Num34z1" w:customStyle="1">
    <w:name w:val="WW8Num34z1"/>
    <w:qFormat/>
    <w:rPr>
      <w:rFonts w:ascii="Courier New" w:hAnsi="Courier New" w:cs="Courier New"/>
      <w:sz w:val="20"/>
    </w:rPr>
  </w:style>
  <w:style w:type="character" w:styleId="WW8Num34z2" w:customStyle="1">
    <w:name w:val="WW8Num34z2"/>
    <w:qFormat/>
    <w:rPr>
      <w:rFonts w:ascii="Wingdings" w:hAnsi="Wingdings" w:cs="Wingdings"/>
      <w:sz w:val="20"/>
    </w:rPr>
  </w:style>
  <w:style w:type="character" w:styleId="WW8Num35z0" w:customStyle="1">
    <w:name w:val="WW8Num35z0"/>
    <w:qFormat/>
    <w:rPr>
      <w:rFonts w:ascii="Symbol" w:hAnsi="Symbol" w:cs="Symbol"/>
      <w:sz w:val="20"/>
    </w:rPr>
  </w:style>
  <w:style w:type="character" w:styleId="WW8Num35z1" w:customStyle="1">
    <w:name w:val="WW8Num35z1"/>
    <w:qFormat/>
    <w:rPr>
      <w:rFonts w:ascii="Courier New" w:hAnsi="Courier New" w:cs="Courier New"/>
      <w:sz w:val="20"/>
    </w:rPr>
  </w:style>
  <w:style w:type="character" w:styleId="WW8Num35z2" w:customStyle="1">
    <w:name w:val="WW8Num35z2"/>
    <w:qFormat/>
    <w:rPr>
      <w:rFonts w:ascii="Wingdings" w:hAnsi="Wingdings" w:cs="Wingdings"/>
      <w:sz w:val="20"/>
    </w:rPr>
  </w:style>
  <w:style w:type="character" w:styleId="WW8Num36z0" w:customStyle="1">
    <w:name w:val="WW8Num36z0"/>
    <w:qFormat/>
    <w:rPr>
      <w:rFonts w:ascii="Symbol" w:hAnsi="Symbol" w:cs="Symbol"/>
      <w:sz w:val="20"/>
    </w:rPr>
  </w:style>
  <w:style w:type="character" w:styleId="WW8Num36z1" w:customStyle="1">
    <w:name w:val="WW8Num36z1"/>
    <w:qFormat/>
    <w:rPr>
      <w:rFonts w:ascii="Courier New" w:hAnsi="Courier New" w:cs="Courier New"/>
      <w:sz w:val="20"/>
    </w:rPr>
  </w:style>
  <w:style w:type="character" w:styleId="WW8Num36z2" w:customStyle="1">
    <w:name w:val="WW8Num36z2"/>
    <w:qFormat/>
    <w:rPr>
      <w:rFonts w:ascii="Wingdings" w:hAnsi="Wingdings" w:cs="Wingdings"/>
      <w:sz w:val="20"/>
    </w:rPr>
  </w:style>
  <w:style w:type="character" w:styleId="WW8Num37z0" w:customStyle="1">
    <w:name w:val="WW8Num37z0"/>
    <w:qFormat/>
    <w:rPr>
      <w:rFonts w:ascii="Symbol" w:hAnsi="Symbol" w:cs="Symbol"/>
      <w:sz w:val="20"/>
    </w:rPr>
  </w:style>
  <w:style w:type="character" w:styleId="WW8Num37z1" w:customStyle="1">
    <w:name w:val="WW8Num37z1"/>
    <w:qFormat/>
    <w:rPr>
      <w:rFonts w:ascii="Courier New" w:hAnsi="Courier New" w:cs="Courier New"/>
      <w:sz w:val="20"/>
    </w:rPr>
  </w:style>
  <w:style w:type="character" w:styleId="WW8Num37z2" w:customStyle="1">
    <w:name w:val="WW8Num37z2"/>
    <w:qFormat/>
    <w:rPr>
      <w:rFonts w:ascii="Wingdings" w:hAnsi="Wingdings" w:cs="Wingdings"/>
      <w:sz w:val="20"/>
    </w:rPr>
  </w:style>
  <w:style w:type="character" w:styleId="WW8Num38z0" w:customStyle="1">
    <w:name w:val="WW8Num38z0"/>
    <w:qFormat/>
    <w:rPr>
      <w:rFonts w:ascii="Symbol" w:hAnsi="Symbol" w:cs="Symbol"/>
      <w:sz w:val="20"/>
    </w:rPr>
  </w:style>
  <w:style w:type="character" w:styleId="WW8Num38z1" w:customStyle="1">
    <w:name w:val="WW8Num38z1"/>
    <w:qFormat/>
    <w:rPr>
      <w:rFonts w:ascii="Courier New" w:hAnsi="Courier New" w:cs="Courier New"/>
      <w:sz w:val="20"/>
    </w:rPr>
  </w:style>
  <w:style w:type="character" w:styleId="WW8Num38z2" w:customStyle="1">
    <w:name w:val="WW8Num38z2"/>
    <w:qFormat/>
    <w:rPr>
      <w:rFonts w:ascii="Wingdings" w:hAnsi="Wingdings" w:cs="Wingdings"/>
      <w:sz w:val="20"/>
    </w:rPr>
  </w:style>
  <w:style w:type="character" w:styleId="WW8Num39z0" w:customStyle="1">
    <w:name w:val="WW8Num39z0"/>
    <w:qFormat/>
    <w:rPr>
      <w:rFonts w:ascii="Symbol" w:hAnsi="Symbol" w:cs="Symbol"/>
      <w:sz w:val="20"/>
    </w:rPr>
  </w:style>
  <w:style w:type="character" w:styleId="WW8Num39z1" w:customStyle="1">
    <w:name w:val="WW8Num39z1"/>
    <w:qFormat/>
    <w:rPr>
      <w:rFonts w:ascii="Courier New" w:hAnsi="Courier New" w:cs="Courier New"/>
      <w:sz w:val="20"/>
    </w:rPr>
  </w:style>
  <w:style w:type="character" w:styleId="WW8Num39z2" w:customStyle="1">
    <w:name w:val="WW8Num39z2"/>
    <w:qFormat/>
    <w:rPr>
      <w:rFonts w:ascii="Wingdings" w:hAnsi="Wingdings" w:cs="Wingdings"/>
      <w:sz w:val="20"/>
    </w:rPr>
  </w:style>
  <w:style w:type="character" w:styleId="WW8Num40z0" w:customStyle="1">
    <w:name w:val="WW8Num40z0"/>
    <w:qFormat/>
    <w:rPr>
      <w:rFonts w:ascii="Symbol" w:hAnsi="Symbol" w:cs="Symbol"/>
      <w:sz w:val="20"/>
    </w:rPr>
  </w:style>
  <w:style w:type="character" w:styleId="WW8Num40z1" w:customStyle="1">
    <w:name w:val="WW8Num40z1"/>
    <w:qFormat/>
    <w:rPr>
      <w:rFonts w:ascii="Courier New" w:hAnsi="Courier New" w:cs="Courier New"/>
      <w:sz w:val="20"/>
    </w:rPr>
  </w:style>
  <w:style w:type="character" w:styleId="WW8Num40z2" w:customStyle="1">
    <w:name w:val="WW8Num40z2"/>
    <w:qFormat/>
    <w:rPr>
      <w:rFonts w:ascii="Wingdings" w:hAnsi="Wingdings" w:cs="Wingdings"/>
      <w:sz w:val="20"/>
    </w:rPr>
  </w:style>
  <w:style w:type="character" w:styleId="WW8Num41z0" w:customStyle="1">
    <w:name w:val="WW8Num41z0"/>
    <w:qFormat/>
    <w:rPr>
      <w:rFonts w:ascii="Symbol" w:hAnsi="Symbol" w:cs="Symbol"/>
    </w:rPr>
  </w:style>
  <w:style w:type="character" w:styleId="WW8Num41z1" w:customStyle="1">
    <w:name w:val="WW8Num41z1"/>
    <w:qFormat/>
    <w:rPr>
      <w:rFonts w:ascii="Courier New" w:hAnsi="Courier New" w:cs="Courier New"/>
    </w:rPr>
  </w:style>
  <w:style w:type="character" w:styleId="WW8Num41z2" w:customStyle="1">
    <w:name w:val="WW8Num41z2"/>
    <w:qFormat/>
    <w:rPr>
      <w:rFonts w:ascii="Wingdings" w:hAnsi="Wingdings" w:cs="Wingdings"/>
    </w:rPr>
  </w:style>
  <w:style w:type="character" w:styleId="WW8Num42z0" w:customStyle="1">
    <w:name w:val="WW8Num42z0"/>
    <w:qFormat/>
    <w:rPr>
      <w:rFonts w:ascii="Symbol" w:hAnsi="Symbol" w:cs="Symbol"/>
      <w:sz w:val="20"/>
    </w:rPr>
  </w:style>
  <w:style w:type="character" w:styleId="WW8Num42z1" w:customStyle="1">
    <w:name w:val="WW8Num42z1"/>
    <w:qFormat/>
    <w:rPr>
      <w:rFonts w:ascii="Courier New" w:hAnsi="Courier New" w:cs="Courier New"/>
      <w:sz w:val="20"/>
    </w:rPr>
  </w:style>
  <w:style w:type="character" w:styleId="WW8Num42z2" w:customStyle="1">
    <w:name w:val="WW8Num42z2"/>
    <w:qFormat/>
    <w:rPr>
      <w:rFonts w:ascii="Wingdings" w:hAnsi="Wingdings" w:cs="Wingdings"/>
      <w:sz w:val="20"/>
    </w:rPr>
  </w:style>
  <w:style w:type="character" w:styleId="WW8Num43z0" w:customStyle="1">
    <w:name w:val="WW8Num43z0"/>
    <w:qFormat/>
    <w:rPr>
      <w:rFonts w:ascii="Symbol" w:hAnsi="Symbol" w:cs="Symbol"/>
      <w:sz w:val="20"/>
    </w:rPr>
  </w:style>
  <w:style w:type="character" w:styleId="WW8Num43z1" w:customStyle="1">
    <w:name w:val="WW8Num43z1"/>
    <w:qFormat/>
    <w:rPr>
      <w:rFonts w:ascii="Courier New" w:hAnsi="Courier New" w:cs="Courier New"/>
      <w:sz w:val="20"/>
    </w:rPr>
  </w:style>
  <w:style w:type="character" w:styleId="WW8Num43z2" w:customStyle="1">
    <w:name w:val="WW8Num43z2"/>
    <w:qFormat/>
    <w:rPr>
      <w:rFonts w:ascii="Wingdings" w:hAnsi="Wingdings" w:cs="Wingdings"/>
      <w:sz w:val="20"/>
    </w:rPr>
  </w:style>
  <w:style w:type="character" w:styleId="WW8Num44z0" w:customStyle="1">
    <w:name w:val="WW8Num44z0"/>
    <w:qFormat/>
    <w:rPr>
      <w:rFonts w:ascii="Symbol" w:hAnsi="Symbol" w:cs="Symbol"/>
      <w:sz w:val="20"/>
    </w:rPr>
  </w:style>
  <w:style w:type="character" w:styleId="WW8Num44z1" w:customStyle="1">
    <w:name w:val="WW8Num44z1"/>
    <w:qFormat/>
    <w:rPr>
      <w:rFonts w:ascii="Courier New" w:hAnsi="Courier New" w:cs="Courier New"/>
      <w:sz w:val="20"/>
    </w:rPr>
  </w:style>
  <w:style w:type="character" w:styleId="WW8Num44z2" w:customStyle="1">
    <w:name w:val="WW8Num44z2"/>
    <w:qFormat/>
    <w:rPr>
      <w:rFonts w:ascii="Wingdings" w:hAnsi="Wingdings" w:cs="Wingdings"/>
      <w:sz w:val="20"/>
    </w:rPr>
  </w:style>
  <w:style w:type="character" w:styleId="WW8Num45z0" w:customStyle="1">
    <w:name w:val="WW8Num45z0"/>
    <w:qFormat/>
    <w:rPr>
      <w:rFonts w:ascii="Symbol" w:hAnsi="Symbol" w:cs="Symbol"/>
      <w:sz w:val="20"/>
    </w:rPr>
  </w:style>
  <w:style w:type="character" w:styleId="WW8Num45z1" w:customStyle="1">
    <w:name w:val="WW8Num45z1"/>
    <w:qFormat/>
    <w:rPr>
      <w:rFonts w:ascii="Courier New" w:hAnsi="Courier New" w:cs="Courier New"/>
      <w:sz w:val="20"/>
    </w:rPr>
  </w:style>
  <w:style w:type="character" w:styleId="WW8Num45z2" w:customStyle="1">
    <w:name w:val="WW8Num45z2"/>
    <w:qFormat/>
    <w:rPr>
      <w:rFonts w:ascii="Wingdings" w:hAnsi="Wingdings" w:cs="Wingdings"/>
      <w:sz w:val="20"/>
    </w:rPr>
  </w:style>
  <w:style w:type="character" w:styleId="WW8Num46z0" w:customStyle="1">
    <w:name w:val="WW8Num46z0"/>
    <w:qFormat/>
    <w:rPr>
      <w:rFonts w:ascii="Symbol" w:hAnsi="Symbol" w:cs="Symbol"/>
    </w:rPr>
  </w:style>
  <w:style w:type="character" w:styleId="WW8Num46z1" w:customStyle="1">
    <w:name w:val="WW8Num46z1"/>
    <w:qFormat/>
    <w:rPr>
      <w:rFonts w:ascii="Courier New" w:hAnsi="Courier New" w:cs="Courier New"/>
    </w:rPr>
  </w:style>
  <w:style w:type="character" w:styleId="WW8Num46z2" w:customStyle="1">
    <w:name w:val="WW8Num46z2"/>
    <w:qFormat/>
    <w:rPr>
      <w:rFonts w:ascii="Wingdings" w:hAnsi="Wingdings" w:cs="Wingdings"/>
    </w:rPr>
  </w:style>
  <w:style w:type="character" w:styleId="WW8Num47z0" w:customStyle="1">
    <w:name w:val="WW8Num47z0"/>
    <w:qFormat/>
    <w:rPr>
      <w:rFonts w:ascii="Symbol" w:hAnsi="Symbol" w:cs="Symbol"/>
      <w:sz w:val="20"/>
    </w:rPr>
  </w:style>
  <w:style w:type="character" w:styleId="WW8Num47z1" w:customStyle="1">
    <w:name w:val="WW8Num47z1"/>
    <w:qFormat/>
    <w:rPr>
      <w:rFonts w:ascii="Courier New" w:hAnsi="Courier New" w:cs="Courier New"/>
      <w:sz w:val="20"/>
    </w:rPr>
  </w:style>
  <w:style w:type="character" w:styleId="WW8Num47z2" w:customStyle="1">
    <w:name w:val="WW8Num47z2"/>
    <w:qFormat/>
    <w:rPr>
      <w:rFonts w:ascii="Wingdings" w:hAnsi="Wingdings" w:cs="Wingdings"/>
      <w:sz w:val="20"/>
    </w:rPr>
  </w:style>
  <w:style w:type="character" w:styleId="WW8Num48z0" w:customStyle="1">
    <w:name w:val="WW8Num48z0"/>
    <w:qFormat/>
    <w:rPr>
      <w:rFonts w:ascii="Symbol" w:hAnsi="Symbol" w:cs="Symbol"/>
      <w:sz w:val="20"/>
    </w:rPr>
  </w:style>
  <w:style w:type="character" w:styleId="WW8Num48z1" w:customStyle="1">
    <w:name w:val="WW8Num48z1"/>
    <w:qFormat/>
    <w:rPr>
      <w:rFonts w:ascii="Courier New" w:hAnsi="Courier New" w:cs="Courier New"/>
      <w:sz w:val="20"/>
    </w:rPr>
  </w:style>
  <w:style w:type="character" w:styleId="WW8Num48z2" w:customStyle="1">
    <w:name w:val="WW8Num48z2"/>
    <w:qFormat/>
    <w:rPr>
      <w:rFonts w:ascii="Wingdings" w:hAnsi="Wingdings" w:cs="Wingdings"/>
      <w:sz w:val="20"/>
    </w:rPr>
  </w:style>
  <w:style w:type="character" w:styleId="WW8Num49z0" w:customStyle="1">
    <w:name w:val="WW8Num49z0"/>
    <w:qFormat/>
    <w:rPr>
      <w:rFonts w:ascii="Symbol" w:hAnsi="Symbol" w:cs="Symbol"/>
      <w:sz w:val="20"/>
    </w:rPr>
  </w:style>
  <w:style w:type="character" w:styleId="WW8Num49z1" w:customStyle="1">
    <w:name w:val="WW8Num49z1"/>
    <w:qFormat/>
    <w:rPr>
      <w:rFonts w:ascii="Courier New" w:hAnsi="Courier New" w:cs="Courier New"/>
      <w:sz w:val="20"/>
    </w:rPr>
  </w:style>
  <w:style w:type="character" w:styleId="WW8Num49z2" w:customStyle="1">
    <w:name w:val="WW8Num49z2"/>
    <w:qFormat/>
    <w:rPr>
      <w:rFonts w:ascii="Wingdings" w:hAnsi="Wingdings" w:cs="Wingdings"/>
      <w:sz w:val="20"/>
    </w:rPr>
  </w:style>
  <w:style w:type="character" w:styleId="WW8NumSt2z0" w:customStyle="1">
    <w:name w:val="WW8NumSt2z0"/>
    <w:qFormat/>
    <w:rPr>
      <w:rFonts w:ascii="Symbol" w:hAnsi="Symbol" w:cs="Symbol"/>
      <w:sz w:val="20"/>
    </w:rPr>
  </w:style>
  <w:style w:type="character" w:styleId="WW8NumSt3z0" w:customStyle="1">
    <w:name w:val="WW8NumSt3z0"/>
    <w:qFormat/>
    <w:rPr>
      <w:rFonts w:ascii="Symbol" w:hAnsi="Symbol" w:cs="Symbol"/>
      <w:sz w:val="20"/>
    </w:rPr>
  </w:style>
  <w:style w:type="character" w:styleId="WW8NumSt4z0" w:customStyle="1">
    <w:name w:val="WW8NumSt4z0"/>
    <w:qFormat/>
    <w:rPr>
      <w:rFonts w:ascii="Symbol" w:hAnsi="Symbol" w:cs="Symbol"/>
      <w:sz w:val="20"/>
    </w:rPr>
  </w:style>
  <w:style w:type="character" w:styleId="WW8NumSt6z0" w:customStyle="1">
    <w:name w:val="WW8NumSt6z0"/>
    <w:qFormat/>
    <w:rPr>
      <w:rFonts w:ascii="Symbol" w:hAnsi="Symbol" w:cs="Symbol"/>
      <w:sz w:val="20"/>
    </w:rPr>
  </w:style>
  <w:style w:type="character" w:styleId="WW8NumSt7z0" w:customStyle="1">
    <w:name w:val="WW8NumSt7z0"/>
    <w:qFormat/>
    <w:rPr>
      <w:rFonts w:ascii="Symbol" w:hAnsi="Symbol" w:cs="Symbol"/>
      <w:sz w:val="20"/>
    </w:rPr>
  </w:style>
  <w:style w:type="character" w:styleId="WW8NumSt9z0" w:customStyle="1">
    <w:name w:val="WW8NumSt9z0"/>
    <w:qFormat/>
    <w:rPr>
      <w:rFonts w:ascii="Symbol" w:hAnsi="Symbol" w:cs="Symbol"/>
      <w:sz w:val="20"/>
    </w:rPr>
  </w:style>
  <w:style w:type="character" w:styleId="WW8NumSt10z0" w:customStyle="1">
    <w:name w:val="WW8NumSt10z0"/>
    <w:qFormat/>
    <w:rPr>
      <w:rFonts w:ascii="Symbol" w:hAnsi="Symbol" w:cs="Symbol"/>
      <w:sz w:val="20"/>
    </w:rPr>
  </w:style>
  <w:style w:type="character" w:styleId="WW8NumSt11z0" w:customStyle="1">
    <w:name w:val="WW8NumSt11z0"/>
    <w:qFormat/>
    <w:rPr>
      <w:rFonts w:ascii="Symbol" w:hAnsi="Symbol" w:cs="Symbol"/>
      <w:sz w:val="20"/>
    </w:rPr>
  </w:style>
  <w:style w:type="character" w:styleId="WW8NumSt14z0" w:customStyle="1">
    <w:name w:val="WW8NumSt14z0"/>
    <w:qFormat/>
    <w:rPr>
      <w:rFonts w:ascii="Symbol" w:hAnsi="Symbol" w:cs="Symbol"/>
      <w:sz w:val="20"/>
    </w:rPr>
  </w:style>
  <w:style w:type="character" w:styleId="WW8NumSt16z0" w:customStyle="1">
    <w:name w:val="WW8NumSt16z0"/>
    <w:qFormat/>
    <w:rPr>
      <w:rFonts w:ascii="Symbol" w:hAnsi="Symbol" w:cs="Symbol"/>
      <w:sz w:val="20"/>
    </w:rPr>
  </w:style>
  <w:style w:type="character" w:styleId="WW8NumSt18z0" w:customStyle="1">
    <w:name w:val="WW8NumSt18z0"/>
    <w:qFormat/>
    <w:rPr>
      <w:rFonts w:ascii="Symbol" w:hAnsi="Symbol" w:cs="Symbol"/>
      <w:sz w:val="20"/>
    </w:rPr>
  </w:style>
  <w:style w:type="character" w:styleId="WW8NumSt21z0" w:customStyle="1">
    <w:name w:val="WW8NumSt21z0"/>
    <w:qFormat/>
    <w:rPr>
      <w:rFonts w:ascii="Symbol" w:hAnsi="Symbol" w:cs="Symbol"/>
      <w:sz w:val="20"/>
    </w:rPr>
  </w:style>
  <w:style w:type="character" w:styleId="WW8NumSt22z0" w:customStyle="1">
    <w:name w:val="WW8NumSt22z0"/>
    <w:qFormat/>
    <w:rPr>
      <w:rFonts w:ascii="Symbol" w:hAnsi="Symbol" w:cs="Symbol"/>
      <w:sz w:val="20"/>
    </w:rPr>
  </w:style>
  <w:style w:type="character" w:styleId="WW8NumSt24z0" w:customStyle="1">
    <w:name w:val="WW8NumSt24z0"/>
    <w:qFormat/>
    <w:rPr>
      <w:rFonts w:ascii="Symbol" w:hAnsi="Symbol" w:cs="Symbol"/>
      <w:sz w:val="20"/>
    </w:rPr>
  </w:style>
  <w:style w:type="character" w:styleId="WW8NumSt25z0" w:customStyle="1">
    <w:name w:val="WW8NumSt25z0"/>
    <w:qFormat/>
    <w:rPr>
      <w:rFonts w:ascii="Symbol" w:hAnsi="Symbol" w:cs="Symbol"/>
      <w:sz w:val="20"/>
    </w:rPr>
  </w:style>
  <w:style w:type="character" w:styleId="WW8NumSt26z0" w:customStyle="1">
    <w:name w:val="WW8NumSt26z0"/>
    <w:qFormat/>
    <w:rPr>
      <w:rFonts w:ascii="Symbol" w:hAnsi="Symbol" w:cs="Symbol"/>
      <w:sz w:val="20"/>
    </w:rPr>
  </w:style>
  <w:style w:type="character" w:styleId="WW8NumSt27z0" w:customStyle="1">
    <w:name w:val="WW8NumSt27z0"/>
    <w:qFormat/>
    <w:rPr>
      <w:rFonts w:ascii="Symbol" w:hAnsi="Symbol" w:cs="Symbol"/>
      <w:sz w:val="20"/>
    </w:rPr>
  </w:style>
  <w:style w:type="character" w:styleId="WW8NumSt28z0" w:customStyle="1">
    <w:name w:val="WW8NumSt28z0"/>
    <w:qFormat/>
    <w:rPr>
      <w:rFonts w:ascii="Symbol" w:hAnsi="Symbol" w:cs="Symbol"/>
      <w:sz w:val="20"/>
    </w:rPr>
  </w:style>
  <w:style w:type="character" w:styleId="WW8NumSt30z0" w:customStyle="1">
    <w:name w:val="WW8NumSt30z0"/>
    <w:qFormat/>
    <w:rPr>
      <w:rFonts w:ascii="Symbol" w:hAnsi="Symbol" w:cs="Symbol"/>
      <w:sz w:val="20"/>
    </w:rPr>
  </w:style>
  <w:style w:type="character" w:styleId="WW8NumSt33z0" w:customStyle="1">
    <w:name w:val="WW8NumSt33z0"/>
    <w:qFormat/>
    <w:rPr>
      <w:rFonts w:ascii="Symbol" w:hAnsi="Symbol" w:cs="Symbol"/>
      <w:sz w:val="20"/>
    </w:rPr>
  </w:style>
  <w:style w:type="character" w:styleId="WW8NumSt35z0" w:customStyle="1">
    <w:name w:val="WW8NumSt35z0"/>
    <w:qFormat/>
    <w:rPr>
      <w:rFonts w:ascii="Symbol" w:hAnsi="Symbol" w:cs="Symbol"/>
      <w:sz w:val="20"/>
    </w:rPr>
  </w:style>
  <w:style w:type="character" w:styleId="WW8NumSt40z0" w:customStyle="1">
    <w:name w:val="WW8NumSt40z0"/>
    <w:qFormat/>
    <w:rPr>
      <w:rFonts w:ascii="Symbol" w:hAnsi="Symbol" w:cs="Symbol"/>
      <w:sz w:val="20"/>
    </w:rPr>
  </w:style>
  <w:style w:type="character" w:styleId="WW8NumSt43z0" w:customStyle="1">
    <w:name w:val="WW8NumSt43z0"/>
    <w:qFormat/>
    <w:rPr>
      <w:rFonts w:ascii="Symbol" w:hAnsi="Symbol" w:cs="Symbol"/>
      <w:sz w:val="20"/>
    </w:rPr>
  </w:style>
  <w:style w:type="character" w:styleId="WW8NumSt44z0" w:customStyle="1">
    <w:name w:val="WW8NumSt44z0"/>
    <w:qFormat/>
    <w:rPr>
      <w:rFonts w:ascii="Symbol" w:hAnsi="Symbol" w:cs="Symbol"/>
      <w:sz w:val="20"/>
    </w:rPr>
  </w:style>
  <w:style w:type="character" w:styleId="Policepardfaut" w:customStyle="1">
    <w:name w:val="Police par défaut"/>
    <w:qFormat/>
    <w:rPr/>
  </w:style>
  <w:style w:type="character" w:styleId="Pagenumber">
    <w:name w:val="page number"/>
    <w:basedOn w:val="Policepardfaut"/>
    <w:qFormat/>
    <w:rPr/>
  </w:style>
  <w:style w:type="character" w:styleId="FooterChar" w:customStyle="1">
    <w:name w:val="Footer Char"/>
    <w:link w:val="Footer"/>
    <w:uiPriority w:val="99"/>
    <w:qFormat/>
    <w:rsid w:val="002b71e3"/>
    <w:rPr>
      <w:rFonts w:ascii="Arial" w:hAnsi="Arial" w:cs="Arial"/>
      <w:sz w:val="22"/>
      <w:szCs w:val="22"/>
      <w:lang w:eastAsia="zh-CN"/>
    </w:rPr>
  </w:style>
  <w:style w:type="character" w:styleId="HeaderChar" w:customStyle="1">
    <w:name w:val="Header Char"/>
    <w:link w:val="Header"/>
    <w:uiPriority w:val="99"/>
    <w:qFormat/>
    <w:rsid w:val="0088039b"/>
    <w:rPr>
      <w:rFonts w:ascii="Arial" w:hAnsi="Arial" w:cs="Arial"/>
      <w:sz w:val="22"/>
      <w:szCs w:val="22"/>
      <w:lang w:eastAsia="zh-CN"/>
    </w:rPr>
  </w:style>
  <w:style w:type="character" w:styleId="FootnoteTextChar" w:customStyle="1">
    <w:name w:val="Footnote Text Char"/>
    <w:basedOn w:val="DefaultParagraphFont"/>
    <w:link w:val="FootnoteText"/>
    <w:uiPriority w:val="99"/>
    <w:qFormat/>
    <w:rsid w:val="004c6635"/>
    <w:rPr>
      <w:rFonts w:ascii="Arial" w:hAnsi="Arial" w:cs="Arial"/>
      <w:sz w:val="24"/>
      <w:szCs w:val="24"/>
      <w:lang w:eastAsia="zh-CN"/>
    </w:rPr>
  </w:style>
  <w:style w:type="character" w:styleId="Footnotereference">
    <w:name w:val="footnote reference"/>
    <w:basedOn w:val="DefaultParagraphFont"/>
    <w:uiPriority w:val="99"/>
    <w:unhideWhenUsed/>
    <w:qFormat/>
    <w:rsid w:val="004c6635"/>
    <w:rPr>
      <w:vertAlign w:val="superscript"/>
    </w:rPr>
  </w:style>
  <w:style w:type="character" w:styleId="ListLabel1">
    <w:name w:val="ListLabel 1"/>
    <w:qFormat/>
    <w:rPr>
      <w:rFonts w:cs="Symbol"/>
      <w:sz w:val="24"/>
    </w:rPr>
  </w:style>
  <w:style w:type="character" w:styleId="ListLabel2">
    <w:name w:val="ListLabel 2"/>
    <w:qFormat/>
    <w:rPr>
      <w:rFonts w:cs="Symbol"/>
      <w:sz w:val="24"/>
    </w:rPr>
  </w:style>
  <w:style w:type="character" w:styleId="ListLabel3">
    <w:name w:val="ListLabel 3"/>
    <w:qFormat/>
    <w:rPr>
      <w:rFonts w:cs="Courier New"/>
    </w:rPr>
  </w:style>
  <w:style w:type="character" w:styleId="ListLabel4">
    <w:name w:val="ListLabel 4"/>
    <w:qFormat/>
    <w:rPr>
      <w:rFonts w:cs="Courier New"/>
    </w:rPr>
  </w:style>
  <w:style w:type="character" w:styleId="ListLabel5">
    <w:name w:val="ListLabel 5"/>
    <w:qFormat/>
    <w:rPr>
      <w:rFonts w:cs="Courier New"/>
    </w:rPr>
  </w:style>
  <w:style w:type="character" w:styleId="ListLabel6">
    <w:name w:val="ListLabel 6"/>
    <w:qFormat/>
    <w:rPr>
      <w:rFonts w:cs="Courier New"/>
    </w:rPr>
  </w:style>
  <w:style w:type="character" w:styleId="ListLabel7">
    <w:name w:val="ListLabel 7"/>
    <w:qFormat/>
    <w:rPr>
      <w:rFonts w:cs="Courier New"/>
    </w:rPr>
  </w:style>
  <w:style w:type="character" w:styleId="ListLabel8">
    <w:name w:val="ListLabel 8"/>
    <w:qFormat/>
    <w:rPr>
      <w:rFonts w:cs="Courier New"/>
    </w:rPr>
  </w:style>
  <w:style w:type="character" w:styleId="Caractresdenotedebasdepage">
    <w:name w:val="Caractères de note de bas de page"/>
    <w:qFormat/>
    <w:rPr/>
  </w:style>
  <w:style w:type="character" w:styleId="Ancredenotedebasdepage">
    <w:name w:val="Ancre de note de bas de page"/>
    <w:rPr>
      <w:vertAlign w:val="superscript"/>
    </w:rPr>
  </w:style>
  <w:style w:type="character" w:styleId="Ancredenotedefin">
    <w:name w:val="Ancre de note de fin"/>
    <w:rPr>
      <w:vertAlign w:val="superscript"/>
    </w:rPr>
  </w:style>
  <w:style w:type="character" w:styleId="Caractresdenotedefin">
    <w:name w:val="Caractères de note de fin"/>
    <w:qFormat/>
    <w:rPr/>
  </w:style>
  <w:style w:type="character" w:styleId="ListLabel9">
    <w:name w:val="ListLabel 9"/>
    <w:qFormat/>
    <w:rPr>
      <w:rFonts w:cs="Symbol"/>
      <w:sz w:val="24"/>
    </w:rPr>
  </w:style>
  <w:style w:type="character" w:styleId="ListLabel10">
    <w:name w:val="ListLabel 10"/>
    <w:qFormat/>
    <w:rPr>
      <w:rFonts w:cs="Symbol"/>
      <w:sz w:val="24"/>
    </w:rPr>
  </w:style>
  <w:style w:type="character" w:styleId="ListLabel11">
    <w:name w:val="ListLabel 11"/>
    <w:qFormat/>
    <w:rPr>
      <w:rFonts w:cs="Symbol"/>
      <w:sz w:val="24"/>
    </w:rPr>
  </w:style>
  <w:style w:type="character" w:styleId="ListLabel12">
    <w:name w:val="ListLabel 12"/>
    <w:qFormat/>
    <w:rPr>
      <w:rFonts w:cs="Courier New"/>
    </w:rPr>
  </w:style>
  <w:style w:type="character" w:styleId="ListLabel13">
    <w:name w:val="ListLabel 13"/>
    <w:qFormat/>
    <w:rPr>
      <w:rFonts w:cs="Wingdings"/>
    </w:rPr>
  </w:style>
  <w:style w:type="character" w:styleId="ListLabel14">
    <w:name w:val="ListLabel 14"/>
    <w:qFormat/>
    <w:rPr>
      <w:rFonts w:cs="Symbol"/>
    </w:rPr>
  </w:style>
  <w:style w:type="character" w:styleId="ListLabel15">
    <w:name w:val="ListLabel 15"/>
    <w:qFormat/>
    <w:rPr>
      <w:rFonts w:cs="Courier New"/>
    </w:rPr>
  </w:style>
  <w:style w:type="character" w:styleId="ListLabel16">
    <w:name w:val="ListLabel 16"/>
    <w:qFormat/>
    <w:rPr>
      <w:rFonts w:cs="Wingdings"/>
    </w:rPr>
  </w:style>
  <w:style w:type="character" w:styleId="ListLabel17">
    <w:name w:val="ListLabel 17"/>
    <w:qFormat/>
    <w:rPr>
      <w:rFonts w:cs="Symbol"/>
    </w:rPr>
  </w:style>
  <w:style w:type="character" w:styleId="ListLabel18">
    <w:name w:val="ListLabel 18"/>
    <w:qFormat/>
    <w:rPr>
      <w:rFonts w:cs="Courier New"/>
    </w:rPr>
  </w:style>
  <w:style w:type="character" w:styleId="ListLabel19">
    <w:name w:val="ListLabel 19"/>
    <w:qFormat/>
    <w:rPr>
      <w:rFonts w:cs="Wingdings"/>
    </w:rPr>
  </w:style>
  <w:style w:type="character" w:styleId="ListLabel20">
    <w:name w:val="ListLabel 20"/>
    <w:qFormat/>
    <w:rPr>
      <w:rFonts w:cs="Symbol"/>
      <w:sz w:val="24"/>
    </w:rPr>
  </w:style>
  <w:style w:type="character" w:styleId="ListLabel21">
    <w:name w:val="ListLabel 21"/>
    <w:qFormat/>
    <w:rPr>
      <w:rFonts w:cs="Courier New"/>
    </w:rPr>
  </w:style>
  <w:style w:type="character" w:styleId="ListLabel22">
    <w:name w:val="ListLabel 22"/>
    <w:qFormat/>
    <w:rPr>
      <w:rFonts w:cs="Wingdings"/>
    </w:rPr>
  </w:style>
  <w:style w:type="character" w:styleId="ListLabel23">
    <w:name w:val="ListLabel 23"/>
    <w:qFormat/>
    <w:rPr>
      <w:rFonts w:cs="Symbol"/>
    </w:rPr>
  </w:style>
  <w:style w:type="character" w:styleId="ListLabel24">
    <w:name w:val="ListLabel 24"/>
    <w:qFormat/>
    <w:rPr>
      <w:rFonts w:cs="Courier New"/>
    </w:rPr>
  </w:style>
  <w:style w:type="character" w:styleId="ListLabel25">
    <w:name w:val="ListLabel 25"/>
    <w:qFormat/>
    <w:rPr>
      <w:rFonts w:cs="Wingdings"/>
    </w:rPr>
  </w:style>
  <w:style w:type="character" w:styleId="ListLabel26">
    <w:name w:val="ListLabel 26"/>
    <w:qFormat/>
    <w:rPr>
      <w:rFonts w:cs="Symbol"/>
    </w:rPr>
  </w:style>
  <w:style w:type="character" w:styleId="ListLabel27">
    <w:name w:val="ListLabel 27"/>
    <w:qFormat/>
    <w:rPr>
      <w:rFonts w:cs="Courier New"/>
    </w:rPr>
  </w:style>
  <w:style w:type="character" w:styleId="ListLabel28">
    <w:name w:val="ListLabel 28"/>
    <w:qFormat/>
    <w:rPr>
      <w:rFonts w:cs="Wingdings"/>
    </w:rPr>
  </w:style>
  <w:style w:type="character" w:styleId="Puces">
    <w:name w:val="Puces"/>
    <w:qFormat/>
    <w:rPr>
      <w:rFonts w:ascii="OpenSymbol" w:hAnsi="OpenSymbol" w:eastAsia="OpenSymbol" w:cs="OpenSymbol"/>
    </w:rPr>
  </w:style>
  <w:style w:type="character" w:styleId="Caractresdenumrotation">
    <w:name w:val="Caractères de numérotation"/>
    <w:qFormat/>
    <w:rPr/>
  </w:style>
  <w:style w:type="character" w:styleId="ListLabel29">
    <w:name w:val="ListLabel 29"/>
    <w:qFormat/>
    <w:rPr>
      <w:rFonts w:cs="OpenSymbol"/>
      <w:sz w:val="24"/>
    </w:rPr>
  </w:style>
  <w:style w:type="character" w:styleId="ListLabel30">
    <w:name w:val="ListLabel 30"/>
    <w:qFormat/>
    <w:rPr>
      <w:rFonts w:cs="OpenSymbol"/>
    </w:rPr>
  </w:style>
  <w:style w:type="character" w:styleId="ListLabel31">
    <w:name w:val="ListLabel 31"/>
    <w:qFormat/>
    <w:rPr>
      <w:rFonts w:cs="OpenSymbol"/>
    </w:rPr>
  </w:style>
  <w:style w:type="character" w:styleId="ListLabel32">
    <w:name w:val="ListLabel 32"/>
    <w:qFormat/>
    <w:rPr>
      <w:rFonts w:cs="OpenSymbol"/>
    </w:rPr>
  </w:style>
  <w:style w:type="character" w:styleId="ListLabel33">
    <w:name w:val="ListLabel 33"/>
    <w:qFormat/>
    <w:rPr>
      <w:rFonts w:cs="OpenSymbol"/>
    </w:rPr>
  </w:style>
  <w:style w:type="character" w:styleId="ListLabel34">
    <w:name w:val="ListLabel 34"/>
    <w:qFormat/>
    <w:rPr>
      <w:rFonts w:cs="OpenSymbol"/>
    </w:rPr>
  </w:style>
  <w:style w:type="character" w:styleId="ListLabel35">
    <w:name w:val="ListLabel 35"/>
    <w:qFormat/>
    <w:rPr>
      <w:rFonts w:cs="OpenSymbol"/>
    </w:rPr>
  </w:style>
  <w:style w:type="character" w:styleId="ListLabel36">
    <w:name w:val="ListLabel 36"/>
    <w:qFormat/>
    <w:rPr>
      <w:rFonts w:cs="OpenSymbol"/>
    </w:rPr>
  </w:style>
  <w:style w:type="character" w:styleId="ListLabel37">
    <w:name w:val="ListLabel 37"/>
    <w:qFormat/>
    <w:rPr>
      <w:rFonts w:cs="OpenSymbol"/>
    </w:rPr>
  </w:style>
  <w:style w:type="character" w:styleId="ListLabel38">
    <w:name w:val="ListLabel 38"/>
    <w:qFormat/>
    <w:rPr>
      <w:rFonts w:cs="OpenSymbol"/>
      <w:sz w:val="24"/>
    </w:rPr>
  </w:style>
  <w:style w:type="character" w:styleId="ListLabel39">
    <w:name w:val="ListLabel 39"/>
    <w:qFormat/>
    <w:rPr>
      <w:rFonts w:cs="OpenSymbol"/>
    </w:rPr>
  </w:style>
  <w:style w:type="character" w:styleId="ListLabel40">
    <w:name w:val="ListLabel 40"/>
    <w:qFormat/>
    <w:rPr>
      <w:rFonts w:cs="OpenSymbol"/>
    </w:rPr>
  </w:style>
  <w:style w:type="character" w:styleId="ListLabel41">
    <w:name w:val="ListLabel 41"/>
    <w:qFormat/>
    <w:rPr>
      <w:rFonts w:cs="OpenSymbol"/>
    </w:rPr>
  </w:style>
  <w:style w:type="character" w:styleId="ListLabel42">
    <w:name w:val="ListLabel 42"/>
    <w:qFormat/>
    <w:rPr>
      <w:rFonts w:cs="OpenSymbol"/>
    </w:rPr>
  </w:style>
  <w:style w:type="character" w:styleId="ListLabel43">
    <w:name w:val="ListLabel 43"/>
    <w:qFormat/>
    <w:rPr>
      <w:rFonts w:cs="OpenSymbol"/>
    </w:rPr>
  </w:style>
  <w:style w:type="character" w:styleId="ListLabel44">
    <w:name w:val="ListLabel 44"/>
    <w:qFormat/>
    <w:rPr>
      <w:rFonts w:cs="OpenSymbol"/>
    </w:rPr>
  </w:style>
  <w:style w:type="character" w:styleId="ListLabel45">
    <w:name w:val="ListLabel 45"/>
    <w:qFormat/>
    <w:rPr>
      <w:rFonts w:cs="OpenSymbol"/>
    </w:rPr>
  </w:style>
  <w:style w:type="character" w:styleId="ListLabel46">
    <w:name w:val="ListLabel 46"/>
    <w:qFormat/>
    <w:rPr>
      <w:rFonts w:cs="OpenSymbol"/>
    </w:rPr>
  </w:style>
  <w:style w:type="paragraph" w:styleId="Titre" w:customStyle="1">
    <w:name w:val="Titre"/>
    <w:basedOn w:val="Normal"/>
    <w:next w:val="Corpsdetexte"/>
    <w:qFormat/>
    <w:pPr>
      <w:keepNext/>
      <w:spacing w:before="240" w:after="120"/>
    </w:pPr>
    <w:rPr>
      <w:rFonts w:ascii="Liberation Sans" w:hAnsi="Liberation Sans" w:eastAsia="DejaVu Sans" w:cs="Lohit Hindi"/>
      <w:sz w:val="28"/>
      <w:szCs w:val="28"/>
    </w:rPr>
  </w:style>
  <w:style w:type="paragraph" w:styleId="Corpsdetexte">
    <w:name w:val="Body Text"/>
    <w:basedOn w:val="Normal"/>
    <w:pPr>
      <w:spacing w:before="0" w:after="120"/>
    </w:pPr>
    <w:rPr/>
  </w:style>
  <w:style w:type="paragraph" w:styleId="Liste">
    <w:name w:val="List"/>
    <w:basedOn w:val="Corpsdetexte"/>
    <w:pPr/>
    <w:rPr>
      <w:rFonts w:cs="Lohit Hindi"/>
    </w:rPr>
  </w:style>
  <w:style w:type="paragraph" w:styleId="Lgende">
    <w:name w:val="Caption"/>
    <w:basedOn w:val="Normal"/>
    <w:qFormat/>
    <w:pPr>
      <w:suppressLineNumbers/>
      <w:spacing w:before="120" w:after="120"/>
    </w:pPr>
    <w:rPr>
      <w:rFonts w:ascii="Liberation Sans" w:hAnsi="Liberation Sans" w:cs="Mangal"/>
      <w:i/>
      <w:iCs/>
      <w:sz w:val="20"/>
      <w:szCs w:val="24"/>
    </w:rPr>
  </w:style>
  <w:style w:type="paragraph" w:styleId="Index" w:customStyle="1">
    <w:name w:val="Index"/>
    <w:basedOn w:val="Normal"/>
    <w:qFormat/>
    <w:pPr>
      <w:suppressLineNumbers/>
    </w:pPr>
    <w:rPr>
      <w:rFonts w:cs="Lohit Hindi"/>
    </w:rPr>
  </w:style>
  <w:style w:type="paragraph" w:styleId="Caption">
    <w:name w:val="caption"/>
    <w:basedOn w:val="Normal"/>
    <w:qFormat/>
    <w:pPr>
      <w:suppressLineNumbers/>
      <w:spacing w:before="120" w:after="120"/>
    </w:pPr>
    <w:rPr>
      <w:rFonts w:cs="Lohit Hindi"/>
      <w:i/>
      <w:iCs/>
      <w:sz w:val="24"/>
      <w:szCs w:val="24"/>
    </w:rPr>
  </w:style>
  <w:style w:type="paragraph" w:styleId="NormalWeb">
    <w:name w:val="Normal (Web)"/>
    <w:basedOn w:val="Normal"/>
    <w:uiPriority w:val="99"/>
    <w:qFormat/>
    <w:pPr>
      <w:spacing w:before="280" w:after="280"/>
    </w:pPr>
    <w:rPr>
      <w:rFonts w:ascii="Times New Roman" w:hAnsi="Times New Roman" w:cs="Times New Roman"/>
      <w:sz w:val="24"/>
      <w:szCs w:val="24"/>
    </w:rPr>
  </w:style>
  <w:style w:type="paragraph" w:styleId="Pieddepage">
    <w:name w:val="Footer"/>
    <w:basedOn w:val="Normal"/>
    <w:link w:val="FooterChar"/>
    <w:uiPriority w:val="99"/>
    <w:pPr>
      <w:tabs>
        <w:tab w:val="center" w:pos="4320" w:leader="none"/>
        <w:tab w:val="right" w:pos="8640" w:leader="none"/>
      </w:tabs>
    </w:pPr>
    <w:rPr/>
  </w:style>
  <w:style w:type="paragraph" w:styleId="Textedebulles" w:customStyle="1">
    <w:name w:val="Texte de bulles"/>
    <w:basedOn w:val="Normal"/>
    <w:qFormat/>
    <w:pPr/>
    <w:rPr>
      <w:rFonts w:ascii="Tahoma" w:hAnsi="Tahoma" w:cs="Tahoma"/>
      <w:sz w:val="16"/>
      <w:szCs w:val="16"/>
    </w:rPr>
  </w:style>
  <w:style w:type="paragraph" w:styleId="Contenudecadre" w:customStyle="1">
    <w:name w:val="Contenu de cadre"/>
    <w:basedOn w:val="Corpsdetexte"/>
    <w:qFormat/>
    <w:pPr/>
    <w:rPr/>
  </w:style>
  <w:style w:type="paragraph" w:styleId="Entte">
    <w:name w:val="Header"/>
    <w:basedOn w:val="Normal"/>
    <w:link w:val="HeaderChar"/>
    <w:uiPriority w:val="99"/>
    <w:pPr>
      <w:suppressLineNumbers/>
      <w:tabs>
        <w:tab w:val="center" w:pos="4819" w:leader="none"/>
        <w:tab w:val="right" w:pos="9638" w:leader="none"/>
      </w:tabs>
    </w:pPr>
    <w:rPr/>
  </w:style>
  <w:style w:type="paragraph" w:styleId="Footnotetext">
    <w:name w:val="footnote text"/>
    <w:basedOn w:val="Normal"/>
    <w:link w:val="FootnoteTextChar"/>
    <w:uiPriority w:val="99"/>
    <w:unhideWhenUsed/>
    <w:qFormat/>
    <w:rsid w:val="004c6635"/>
    <w:pPr/>
    <w:rPr>
      <w:sz w:val="24"/>
      <w:szCs w:val="24"/>
    </w:rPr>
  </w:style>
  <w:style w:type="paragraph" w:styleId="ListParagraph">
    <w:name w:val="List Paragraph"/>
    <w:basedOn w:val="Normal"/>
    <w:uiPriority w:val="34"/>
    <w:qFormat/>
    <w:rsid w:val="006e2be9"/>
    <w:pPr>
      <w:spacing w:before="0" w:after="0"/>
      <w:ind w:left="720" w:hanging="0"/>
      <w:contextualSpacing/>
    </w:pPr>
    <w:rPr/>
  </w:style>
  <w:style w:type="paragraph" w:styleId="Notedebasdepage">
    <w:name w:val="Footnote Text"/>
    <w:basedOn w:val="Normal"/>
    <w:pPr/>
    <w:rPr/>
  </w:style>
  <w:style w:type="paragraph" w:styleId="Titre11">
    <w:name w:val="Titre 1.1"/>
    <w:basedOn w:val="Normal"/>
    <w:qFormat/>
    <w:pPr>
      <w:spacing w:lineRule="auto" w:line="276"/>
    </w:pPr>
    <w:rPr/>
  </w:style>
  <w:style w:type="paragraph" w:styleId="ListBullet3">
    <w:name w:val="List Bullet 3"/>
    <w:basedOn w:val="Liste"/>
    <w:qFormat/>
    <w:pPr/>
    <w:rPr>
      <w:sz w:val="24"/>
    </w:rPr>
  </w:style>
  <w:style w:type="paragraph" w:styleId="ListBullet4">
    <w:name w:val="List Bullet 4"/>
    <w:basedOn w:val="Liste"/>
    <w:qFormat/>
    <w:pPr/>
    <w:rPr/>
  </w:style>
  <w:style w:type="paragraph" w:styleId="ListBullet5">
    <w:name w:val="List Bullet 5"/>
    <w:basedOn w:val="Liste"/>
    <w:qFormat/>
    <w:pPr/>
    <w:rPr/>
  </w:style>
  <w:style w:type="paragraph" w:styleId="Puce2">
    <w:name w:val="List Bullet 3"/>
    <w:basedOn w:val="Liste"/>
    <w:pPr/>
    <w:rPr/>
  </w:style>
  <w:style w:type="paragraph" w:styleId="Puce1fin">
    <w:name w:val="Puce 1 fin"/>
    <w:basedOn w:val="Liste"/>
    <w:qFormat/>
    <w:pPr/>
    <w:rPr/>
  </w:style>
  <w:style w:type="paragraph" w:styleId="Puce1">
    <w:name w:val="List 2"/>
    <w:basedOn w:val="Liste"/>
    <w:pPr>
      <w:spacing w:before="0" w:after="0"/>
    </w:pPr>
    <w:rPr>
      <w:sz w:val="24"/>
    </w:rPr>
  </w:style>
  <w:style w:type="numbering" w:styleId="NoList" w:default="1">
    <w:name w:val="No List"/>
    <w:uiPriority w:val="99"/>
    <w:semiHidden/>
    <w:unhideWhenUsed/>
    <w:qFormat/>
  </w:style>
  <w:style w:type="numbering" w:styleId="Puce11">
    <w:name w:val="Puce 1"/>
    <w:qFormat/>
  </w:style>
  <w:style w:type="numbering" w:styleId="Puce21">
    <w:name w:val="Puce 2"/>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_rels/foot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1698</TotalTime>
  <Application>LibreOffice/5.1.6.2$Linux_X86_64 LibreOffice_project/10m0$Build-2</Application>
  <Pages>12</Pages>
  <Words>4099</Words>
  <Characters>22884</Characters>
  <CharactersWithSpaces>26632</CharactersWithSpaces>
  <Paragraphs>232</Paragraphs>
  <Company>WMO</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2017-08-24T21:56:00Z</dcterms:created>
  <dc:creator>Autologon</dc:creator>
  <dc:description/>
  <dc:language>fr-FR</dc:language>
  <cp:lastModifiedBy/>
  <cp:lastPrinted>2018-04-26T15:49:49Z</cp:lastPrinted>
  <dcterms:modified xsi:type="dcterms:W3CDTF">2018-04-28T08:07:17Z</dcterms:modified>
  <cp:revision>94</cp:revision>
  <dc:subject/>
  <dc:title>Planning and Management of Training Events</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WMO</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