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59" w:rsidRDefault="00A04820" w:rsidP="00B02E11">
      <w:pPr>
        <w:jc w:val="center"/>
        <w:rPr>
          <w:b/>
          <w:sz w:val="28"/>
        </w:rPr>
      </w:pPr>
    </w:p>
    <w:p w:rsidR="007067F1" w:rsidRDefault="002F5C01" w:rsidP="00B02E11">
      <w:pPr>
        <w:jc w:val="center"/>
        <w:rPr>
          <w:b/>
          <w:sz w:val="28"/>
        </w:rPr>
      </w:pPr>
      <w:r w:rsidRPr="00B02E11">
        <w:rPr>
          <w:b/>
          <w:bCs/>
          <w:sz w:val="28"/>
          <w:lang w:val="fr-FR"/>
        </w:rPr>
        <w:t>Niveaux d</w:t>
      </w:r>
      <w:r w:rsidR="00021791">
        <w:rPr>
          <w:b/>
          <w:bCs/>
          <w:sz w:val="28"/>
          <w:lang w:val="fr-FR"/>
        </w:rPr>
        <w:t>’</w:t>
      </w:r>
      <w:r w:rsidRPr="00B02E11">
        <w:rPr>
          <w:b/>
          <w:bCs/>
          <w:sz w:val="28"/>
          <w:lang w:val="fr-FR"/>
        </w:rPr>
        <w:t>évaluation de formation</w:t>
      </w:r>
    </w:p>
    <w:p w:rsidR="006E0459" w:rsidRDefault="00A04820" w:rsidP="00B02E11">
      <w:pPr>
        <w:jc w:val="center"/>
        <w:rPr>
          <w:b/>
          <w:sz w:val="28"/>
        </w:rPr>
      </w:pPr>
    </w:p>
    <w:p w:rsidR="00493206" w:rsidRDefault="002F5C01">
      <w:r>
        <w:rPr>
          <w:lang w:val="fr-FR"/>
        </w:rPr>
        <w:t>De la même façon qu</w:t>
      </w:r>
      <w:r w:rsidR="00021791">
        <w:rPr>
          <w:lang w:val="fr-FR"/>
        </w:rPr>
        <w:t>’</w:t>
      </w:r>
      <w:r>
        <w:rPr>
          <w:lang w:val="fr-FR"/>
        </w:rPr>
        <w:t>il est important d</w:t>
      </w:r>
      <w:r w:rsidR="00021791">
        <w:rPr>
          <w:lang w:val="fr-FR"/>
        </w:rPr>
        <w:t>’</w:t>
      </w:r>
      <w:r>
        <w:rPr>
          <w:lang w:val="fr-FR"/>
        </w:rPr>
        <w:t>évaluer les apprenants, il est important d</w:t>
      </w:r>
      <w:r w:rsidR="00021791">
        <w:rPr>
          <w:lang w:val="fr-FR"/>
        </w:rPr>
        <w:t>’</w:t>
      </w:r>
      <w:r>
        <w:rPr>
          <w:lang w:val="fr-FR"/>
        </w:rPr>
        <w:t>évaluer la formation elle-même. Dans notre diagramme du cycle de formation, l</w:t>
      </w:r>
      <w:r w:rsidR="00021791">
        <w:rPr>
          <w:lang w:val="fr-FR"/>
        </w:rPr>
        <w:t>’</w:t>
      </w:r>
      <w:r>
        <w:rPr>
          <w:lang w:val="fr-FR"/>
        </w:rPr>
        <w:t>évaluation est l</w:t>
      </w:r>
      <w:r w:rsidR="00021791">
        <w:rPr>
          <w:lang w:val="fr-FR"/>
        </w:rPr>
        <w:t>’</w:t>
      </w:r>
      <w:r>
        <w:rPr>
          <w:lang w:val="fr-FR"/>
        </w:rPr>
        <w:t>étape qui mène à l</w:t>
      </w:r>
      <w:r w:rsidR="00021791">
        <w:rPr>
          <w:lang w:val="fr-FR"/>
        </w:rPr>
        <w:t>’</w:t>
      </w:r>
      <w:r>
        <w:rPr>
          <w:lang w:val="fr-FR"/>
        </w:rPr>
        <w:t>amélioration continue pour le développement et la fourniture de la formation. Elle est présentée, en même temps que le contrôle de l</w:t>
      </w:r>
      <w:r w:rsidR="00021791">
        <w:rPr>
          <w:lang w:val="fr-FR"/>
        </w:rPr>
        <w:t>’</w:t>
      </w:r>
      <w:r>
        <w:rPr>
          <w:lang w:val="fr-FR"/>
        </w:rPr>
        <w:t>apprentissage, comme la 6e compétence et l</w:t>
      </w:r>
      <w:r w:rsidR="00021791">
        <w:rPr>
          <w:lang w:val="fr-FR"/>
        </w:rPr>
        <w:t>’</w:t>
      </w:r>
      <w:r>
        <w:rPr>
          <w:lang w:val="fr-FR"/>
        </w:rPr>
        <w:t>ultime étape du processus, car la plus grande partie de l</w:t>
      </w:r>
      <w:r w:rsidR="00021791">
        <w:rPr>
          <w:lang w:val="fr-FR"/>
        </w:rPr>
        <w:t>’</w:t>
      </w:r>
      <w:r>
        <w:rPr>
          <w:lang w:val="fr-FR"/>
        </w:rPr>
        <w:t>évaluation s</w:t>
      </w:r>
      <w:r w:rsidR="00021791">
        <w:rPr>
          <w:lang w:val="fr-FR"/>
        </w:rPr>
        <w:t>’</w:t>
      </w:r>
      <w:r>
        <w:rPr>
          <w:lang w:val="fr-FR"/>
        </w:rPr>
        <w:t>effectue à la fin de la formation. Mais l</w:t>
      </w:r>
      <w:r w:rsidR="00021791">
        <w:rPr>
          <w:lang w:val="fr-FR"/>
        </w:rPr>
        <w:t>’</w:t>
      </w:r>
      <w:r>
        <w:rPr>
          <w:lang w:val="fr-FR"/>
        </w:rPr>
        <w:t>évaluation de la formation n</w:t>
      </w:r>
      <w:r w:rsidR="00021791">
        <w:rPr>
          <w:lang w:val="fr-FR"/>
        </w:rPr>
        <w:t>’</w:t>
      </w:r>
      <w:r>
        <w:rPr>
          <w:lang w:val="fr-FR"/>
        </w:rPr>
        <w:t xml:space="preserve">est pas uniquement </w:t>
      </w:r>
      <w:r w:rsidR="00021791">
        <w:rPr>
          <w:lang w:val="fr-FR"/>
        </w:rPr>
        <w:t>constituée d’</w:t>
      </w:r>
      <w:r>
        <w:rPr>
          <w:lang w:val="fr-FR"/>
        </w:rPr>
        <w:t xml:space="preserve">enquêtes que vous soumettez aux étudiants à la fin de celle-ci, elle est peut être effectuée pendant, et également longtemps après la fin de la formation. </w:t>
      </w:r>
    </w:p>
    <w:p w:rsidR="00C570CD" w:rsidRDefault="00021791" w:rsidP="00C570CD">
      <w:pPr>
        <w:jc w:val="center"/>
      </w:pPr>
      <w:r>
        <w:rPr>
          <w:noProof/>
          <w:lang w:val="fr-FR" w:eastAsia="fr-FR"/>
        </w:rPr>
        <w:drawing>
          <wp:inline distT="0" distB="0" distL="0" distR="0">
            <wp:extent cx="3619500" cy="3420684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524" cy="342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C55" w:rsidRPr="001D4C55" w:rsidRDefault="002F5C01" w:rsidP="00C570CD">
      <w:pPr>
        <w:rPr>
          <w:b/>
        </w:rPr>
      </w:pPr>
      <w:r w:rsidRPr="00664AE5">
        <w:rPr>
          <w:b/>
          <w:bCs/>
          <w:sz w:val="24"/>
          <w:lang w:val="fr-FR"/>
        </w:rPr>
        <w:t>Qui et quoi sont évalués dans l</w:t>
      </w:r>
      <w:r w:rsidR="00021791">
        <w:rPr>
          <w:b/>
          <w:bCs/>
          <w:sz w:val="24"/>
          <w:lang w:val="fr-FR"/>
        </w:rPr>
        <w:t>’</w:t>
      </w:r>
      <w:r w:rsidRPr="00664AE5">
        <w:rPr>
          <w:b/>
          <w:bCs/>
          <w:sz w:val="24"/>
          <w:lang w:val="fr-FR"/>
        </w:rPr>
        <w:t>évaluation de la formation</w:t>
      </w:r>
      <w:r w:rsidR="00021791">
        <w:rPr>
          <w:b/>
          <w:bCs/>
          <w:sz w:val="24"/>
          <w:lang w:val="fr-FR"/>
        </w:rPr>
        <w:t> </w:t>
      </w:r>
      <w:r w:rsidRPr="00664AE5">
        <w:rPr>
          <w:b/>
          <w:bCs/>
          <w:sz w:val="24"/>
          <w:lang w:val="fr-FR"/>
        </w:rPr>
        <w:t>?</w:t>
      </w:r>
    </w:p>
    <w:p w:rsidR="001D4C55" w:rsidRDefault="002F5C01" w:rsidP="00C570CD">
      <w:r>
        <w:rPr>
          <w:lang w:val="fr-FR"/>
        </w:rPr>
        <w:t>Il pourrait sembler évident que les formateurs, ainsi que les ressources et activités créées, soient évalués. Mais du point de vue des systèmes de formation, il y a en réalité bien plus à évaluer pour obtenir une vue d</w:t>
      </w:r>
      <w:r w:rsidR="00021791">
        <w:rPr>
          <w:lang w:val="fr-FR"/>
        </w:rPr>
        <w:t>’</w:t>
      </w:r>
      <w:r>
        <w:rPr>
          <w:lang w:val="fr-FR"/>
        </w:rPr>
        <w:t>ensemble. Le tableau ci-dessous fait la liste de ceux qui peuvent être évalués, et ce qui peut être évalué chez eux.</w:t>
      </w:r>
    </w:p>
    <w:p w:rsidR="006E0459" w:rsidRDefault="00A04820" w:rsidP="00C570C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72"/>
        <w:gridCol w:w="4964"/>
      </w:tblGrid>
      <w:tr w:rsidR="001128FB" w:rsidTr="001D4C55">
        <w:tc>
          <w:tcPr>
            <w:tcW w:w="4428" w:type="dxa"/>
            <w:shd w:val="clear" w:color="auto" w:fill="B8CCE4" w:themeFill="accent1" w:themeFillTint="66"/>
          </w:tcPr>
          <w:p w:rsidR="001D4C55" w:rsidRPr="001D4C55" w:rsidRDefault="002F5C01" w:rsidP="00C570CD">
            <w:pPr>
              <w:rPr>
                <w:i/>
              </w:rPr>
            </w:pPr>
            <w:r w:rsidRPr="001D4C55">
              <w:rPr>
                <w:i/>
                <w:iCs/>
                <w:lang w:val="fr-FR"/>
              </w:rPr>
              <w:t>Qui est évalué</w:t>
            </w:r>
            <w:r w:rsidR="00021791">
              <w:rPr>
                <w:i/>
                <w:iCs/>
                <w:lang w:val="fr-FR"/>
              </w:rPr>
              <w:t> </w:t>
            </w:r>
            <w:r w:rsidRPr="001D4C55">
              <w:rPr>
                <w:i/>
                <w:iCs/>
                <w:lang w:val="fr-FR"/>
              </w:rPr>
              <w:t>?</w:t>
            </w:r>
          </w:p>
        </w:tc>
        <w:tc>
          <w:tcPr>
            <w:tcW w:w="5148" w:type="dxa"/>
            <w:shd w:val="clear" w:color="auto" w:fill="B8CCE4" w:themeFill="accent1" w:themeFillTint="66"/>
          </w:tcPr>
          <w:p w:rsidR="001D4C55" w:rsidRPr="001D4C55" w:rsidRDefault="002F5C01" w:rsidP="00C570CD">
            <w:pPr>
              <w:rPr>
                <w:i/>
              </w:rPr>
            </w:pPr>
            <w:r w:rsidRPr="001D4C55">
              <w:rPr>
                <w:i/>
                <w:iCs/>
                <w:lang w:val="fr-FR"/>
              </w:rPr>
              <w:t>Qu</w:t>
            </w:r>
            <w:r w:rsidR="00021791">
              <w:rPr>
                <w:i/>
                <w:iCs/>
                <w:lang w:val="fr-FR"/>
              </w:rPr>
              <w:t>’</w:t>
            </w:r>
            <w:r w:rsidRPr="001D4C55">
              <w:rPr>
                <w:i/>
                <w:iCs/>
                <w:lang w:val="fr-FR"/>
              </w:rPr>
              <w:t>est-ce qui est évalué</w:t>
            </w:r>
            <w:r w:rsidR="00021791">
              <w:rPr>
                <w:i/>
                <w:iCs/>
                <w:lang w:val="fr-FR"/>
              </w:rPr>
              <w:t> </w:t>
            </w:r>
            <w:r w:rsidRPr="001D4C55">
              <w:rPr>
                <w:i/>
                <w:iCs/>
                <w:lang w:val="fr-FR"/>
              </w:rPr>
              <w:t>?</w:t>
            </w:r>
          </w:p>
        </w:tc>
      </w:tr>
      <w:tr w:rsidR="001128FB" w:rsidTr="001D4C55">
        <w:tc>
          <w:tcPr>
            <w:tcW w:w="4428" w:type="dxa"/>
          </w:tcPr>
          <w:p w:rsidR="001D4C55" w:rsidRPr="001D4C55" w:rsidRDefault="002F5C01" w:rsidP="00C570CD">
            <w:pPr>
              <w:rPr>
                <w:b/>
              </w:rPr>
            </w:pPr>
            <w:r>
              <w:rPr>
                <w:b/>
                <w:bCs/>
                <w:lang w:val="fr-FR"/>
              </w:rPr>
              <w:t xml:space="preserve">Apprenants </w:t>
            </w:r>
            <w:r>
              <w:rPr>
                <w:lang w:val="fr-FR"/>
              </w:rPr>
              <w:t>(dans ce cas, les apprenants sont évalués comme indicateur de l</w:t>
            </w:r>
            <w:r w:rsidR="00021791">
              <w:rPr>
                <w:lang w:val="fr-FR"/>
              </w:rPr>
              <w:t>’</w:t>
            </w:r>
            <w:r>
              <w:rPr>
                <w:lang w:val="fr-FR"/>
              </w:rPr>
              <w:t>efficacité de la formation, pas en tant qu</w:t>
            </w:r>
            <w:r w:rsidR="00021791">
              <w:rPr>
                <w:lang w:val="fr-FR"/>
              </w:rPr>
              <w:t>’</w:t>
            </w:r>
            <w:r>
              <w:rPr>
                <w:lang w:val="fr-FR"/>
              </w:rPr>
              <w:t>individus)</w:t>
            </w:r>
          </w:p>
        </w:tc>
        <w:tc>
          <w:tcPr>
            <w:tcW w:w="5148" w:type="dxa"/>
          </w:tcPr>
          <w:p w:rsidR="001D4C55" w:rsidRDefault="002F5C01" w:rsidP="00796AF4">
            <w:r>
              <w:rPr>
                <w:lang w:val="fr-FR"/>
              </w:rPr>
              <w:t>Disposition à l</w:t>
            </w:r>
            <w:r w:rsidR="00021791">
              <w:rPr>
                <w:lang w:val="fr-FR"/>
              </w:rPr>
              <w:t>’</w:t>
            </w:r>
            <w:r>
              <w:rPr>
                <w:lang w:val="fr-FR"/>
              </w:rPr>
              <w:t>apprentissage, résultats, aptitude à appliquer ce qu</w:t>
            </w:r>
            <w:r w:rsidR="00021791">
              <w:rPr>
                <w:lang w:val="fr-FR"/>
              </w:rPr>
              <w:t>’</w:t>
            </w:r>
            <w:r>
              <w:rPr>
                <w:lang w:val="fr-FR"/>
              </w:rPr>
              <w:t xml:space="preserve">ils ont appris, attitude envers la formation </w:t>
            </w:r>
          </w:p>
        </w:tc>
      </w:tr>
      <w:tr w:rsidR="001128FB" w:rsidTr="001D4C55">
        <w:tc>
          <w:tcPr>
            <w:tcW w:w="4428" w:type="dxa"/>
          </w:tcPr>
          <w:p w:rsidR="001D4C55" w:rsidRDefault="002F5C01" w:rsidP="00C570CD">
            <w:r w:rsidRPr="001D4C55">
              <w:rPr>
                <w:b/>
                <w:bCs/>
                <w:lang w:val="fr-FR"/>
              </w:rPr>
              <w:lastRenderedPageBreak/>
              <w:t>L</w:t>
            </w:r>
            <w:r w:rsidR="00021791">
              <w:rPr>
                <w:b/>
                <w:bCs/>
                <w:lang w:val="fr-FR"/>
              </w:rPr>
              <w:t>’</w:t>
            </w:r>
            <w:r w:rsidRPr="001D4C55">
              <w:rPr>
                <w:b/>
                <w:bCs/>
                <w:lang w:val="fr-FR"/>
              </w:rPr>
              <w:t xml:space="preserve">équipe de formation </w:t>
            </w:r>
            <w:r w:rsidRPr="001D4C55">
              <w:rPr>
                <w:lang w:val="fr-FR"/>
              </w:rPr>
              <w:t>(enseignants, formateurs, concepteurs de la formation, personnel d</w:t>
            </w:r>
            <w:r w:rsidR="00021791">
              <w:rPr>
                <w:lang w:val="fr-FR"/>
              </w:rPr>
              <w:t>’</w:t>
            </w:r>
            <w:r w:rsidRPr="001D4C55">
              <w:rPr>
                <w:lang w:val="fr-FR"/>
              </w:rPr>
              <w:t>assistance à la formation, administration)</w:t>
            </w:r>
          </w:p>
        </w:tc>
        <w:tc>
          <w:tcPr>
            <w:tcW w:w="5148" w:type="dxa"/>
          </w:tcPr>
          <w:p w:rsidR="001D4C55" w:rsidRDefault="002F5C01" w:rsidP="00542476">
            <w:r>
              <w:rPr>
                <w:lang w:val="fr-FR"/>
              </w:rPr>
              <w:t>Contenu de la formation, solutions de formation, ressources pédagogiques, activités d</w:t>
            </w:r>
            <w:r w:rsidR="00021791">
              <w:rPr>
                <w:lang w:val="fr-FR"/>
              </w:rPr>
              <w:t>’</w:t>
            </w:r>
            <w:r>
              <w:rPr>
                <w:lang w:val="fr-FR"/>
              </w:rPr>
              <w:t>apprentissage, logistique de formation et préparation</w:t>
            </w:r>
          </w:p>
        </w:tc>
      </w:tr>
      <w:tr w:rsidR="001128FB" w:rsidTr="001D4C55">
        <w:tc>
          <w:tcPr>
            <w:tcW w:w="4428" w:type="dxa"/>
          </w:tcPr>
          <w:p w:rsidR="001D4C55" w:rsidRDefault="002F5C01" w:rsidP="00CE7A9C">
            <w:r w:rsidRPr="001D4C55">
              <w:rPr>
                <w:b/>
                <w:bCs/>
                <w:lang w:val="fr-FR"/>
              </w:rPr>
              <w:t xml:space="preserve">Le département formation </w:t>
            </w:r>
            <w:r w:rsidRPr="001D4C55">
              <w:rPr>
                <w:lang w:val="fr-FR"/>
              </w:rPr>
              <w:t>(y compris les gestionnaires)</w:t>
            </w:r>
          </w:p>
        </w:tc>
        <w:tc>
          <w:tcPr>
            <w:tcW w:w="5148" w:type="dxa"/>
          </w:tcPr>
          <w:p w:rsidR="001D4C55" w:rsidRDefault="002F5C01" w:rsidP="00CE7A9C">
            <w:r>
              <w:rPr>
                <w:lang w:val="fr-FR"/>
              </w:rPr>
              <w:t xml:space="preserve">Décisions sur les besoins et priorités de formation, conception du programme, installations et outils, et choix des solutions de formation. </w:t>
            </w:r>
          </w:p>
        </w:tc>
      </w:tr>
      <w:tr w:rsidR="001128FB" w:rsidTr="001D4C55">
        <w:tc>
          <w:tcPr>
            <w:tcW w:w="4428" w:type="dxa"/>
          </w:tcPr>
          <w:p w:rsidR="001D4C55" w:rsidRDefault="002F5C01" w:rsidP="00A604A3">
            <w:r w:rsidRPr="001D4C55">
              <w:rPr>
                <w:b/>
                <w:bCs/>
                <w:lang w:val="fr-FR"/>
              </w:rPr>
              <w:t>L</w:t>
            </w:r>
            <w:r w:rsidR="00021791">
              <w:rPr>
                <w:b/>
                <w:bCs/>
                <w:lang w:val="fr-FR"/>
              </w:rPr>
              <w:t>’</w:t>
            </w:r>
            <w:r w:rsidRPr="001D4C55">
              <w:rPr>
                <w:b/>
                <w:bCs/>
                <w:lang w:val="fr-FR"/>
              </w:rPr>
              <w:t>organisation de l</w:t>
            </w:r>
            <w:r w:rsidR="00021791">
              <w:rPr>
                <w:b/>
                <w:bCs/>
                <w:lang w:val="fr-FR"/>
              </w:rPr>
              <w:t>’</w:t>
            </w:r>
            <w:r w:rsidRPr="001D4C55">
              <w:rPr>
                <w:b/>
                <w:bCs/>
                <w:lang w:val="fr-FR"/>
              </w:rPr>
              <w:t xml:space="preserve">institution </w:t>
            </w:r>
            <w:r w:rsidRPr="001D4C55">
              <w:rPr>
                <w:lang w:val="fr-FR"/>
              </w:rPr>
              <w:t>(ceux qui définissent le programme de cours ou demandent l</w:t>
            </w:r>
            <w:r w:rsidR="00021791">
              <w:rPr>
                <w:lang w:val="fr-FR"/>
              </w:rPr>
              <w:t>’</w:t>
            </w:r>
            <w:r w:rsidRPr="001D4C55">
              <w:rPr>
                <w:lang w:val="fr-FR"/>
              </w:rPr>
              <w:t>établissement d</w:t>
            </w:r>
            <w:r w:rsidR="00021791">
              <w:rPr>
                <w:lang w:val="fr-FR"/>
              </w:rPr>
              <w:t>’</w:t>
            </w:r>
            <w:r w:rsidRPr="001D4C55">
              <w:rPr>
                <w:lang w:val="fr-FR"/>
              </w:rPr>
              <w:t>une formation, et les gestionnaires qui influencent les décisions de formation)</w:t>
            </w:r>
          </w:p>
        </w:tc>
        <w:tc>
          <w:tcPr>
            <w:tcW w:w="5148" w:type="dxa"/>
          </w:tcPr>
          <w:p w:rsidR="001D4C55" w:rsidRDefault="002F5C01" w:rsidP="00A76A82">
            <w:r>
              <w:rPr>
                <w:lang w:val="fr-FR"/>
              </w:rPr>
              <w:t>Décisions sur les besoins et priorités de formation, décisions de personnel, processus de préparation, assistance à l</w:t>
            </w:r>
            <w:r w:rsidR="00021791">
              <w:rPr>
                <w:lang w:val="fr-FR"/>
              </w:rPr>
              <w:t>’</w:t>
            </w:r>
            <w:r>
              <w:rPr>
                <w:lang w:val="fr-FR"/>
              </w:rPr>
              <w:t>équipe de formation, et gestion de celle-ci.</w:t>
            </w:r>
          </w:p>
        </w:tc>
      </w:tr>
      <w:tr w:rsidR="001128FB" w:rsidTr="001D4C55">
        <w:tc>
          <w:tcPr>
            <w:tcW w:w="4428" w:type="dxa"/>
          </w:tcPr>
          <w:p w:rsidR="001D4C55" w:rsidRPr="001D4C55" w:rsidRDefault="002F5C01" w:rsidP="00021791">
            <w:pPr>
              <w:keepNext/>
              <w:rPr>
                <w:b/>
              </w:rPr>
            </w:pPr>
            <w:r>
              <w:rPr>
                <w:b/>
                <w:bCs/>
                <w:lang w:val="fr-FR"/>
              </w:rPr>
              <w:t xml:space="preserve">Organisations des apprenants </w:t>
            </w:r>
            <w:r>
              <w:rPr>
                <w:lang w:val="fr-FR"/>
              </w:rPr>
              <w:t xml:space="preserve">(ceux qui </w:t>
            </w:r>
            <w:r w:rsidR="00021791">
              <w:rPr>
                <w:lang w:val="fr-FR"/>
              </w:rPr>
              <w:t>proposent</w:t>
            </w:r>
            <w:r>
              <w:rPr>
                <w:lang w:val="fr-FR"/>
              </w:rPr>
              <w:t xml:space="preserve"> la formation aux apprenants)</w:t>
            </w:r>
          </w:p>
        </w:tc>
        <w:tc>
          <w:tcPr>
            <w:tcW w:w="5148" w:type="dxa"/>
          </w:tcPr>
          <w:p w:rsidR="001D4C55" w:rsidRDefault="002F5C01" w:rsidP="00664AE5">
            <w:pPr>
              <w:keepNext/>
            </w:pPr>
            <w:r>
              <w:rPr>
                <w:lang w:val="fr-FR"/>
              </w:rPr>
              <w:t xml:space="preserve">Assistance pour la mise en </w:t>
            </w:r>
            <w:r w:rsidR="00021791">
              <w:rPr>
                <w:lang w:val="fr-FR"/>
              </w:rPr>
              <w:t>œ</w:t>
            </w:r>
            <w:r>
              <w:rPr>
                <w:lang w:val="fr-FR"/>
              </w:rPr>
              <w:t>uvre de la formation et amélioration des performances, assistance à l</w:t>
            </w:r>
            <w:r w:rsidR="00021791">
              <w:rPr>
                <w:lang w:val="fr-FR"/>
              </w:rPr>
              <w:t>’</w:t>
            </w:r>
            <w:r>
              <w:rPr>
                <w:lang w:val="fr-FR"/>
              </w:rPr>
              <w:t>amélioration de la qualité organisationnelle.</w:t>
            </w:r>
          </w:p>
        </w:tc>
      </w:tr>
    </w:tbl>
    <w:p w:rsidR="001D4C55" w:rsidRDefault="00A04820" w:rsidP="00C570CD"/>
    <w:p w:rsidR="001D4C55" w:rsidRPr="00664AE5" w:rsidRDefault="002F5C01" w:rsidP="00C570CD">
      <w:pPr>
        <w:rPr>
          <w:b/>
          <w:sz w:val="24"/>
        </w:rPr>
      </w:pPr>
      <w:r w:rsidRPr="00664AE5">
        <w:rPr>
          <w:b/>
          <w:bCs/>
          <w:sz w:val="24"/>
          <w:lang w:val="fr-FR"/>
        </w:rPr>
        <w:t>Niveaux d</w:t>
      </w:r>
      <w:r w:rsidR="00021791">
        <w:rPr>
          <w:b/>
          <w:bCs/>
          <w:sz w:val="24"/>
          <w:lang w:val="fr-FR"/>
        </w:rPr>
        <w:t>’</w:t>
      </w:r>
      <w:r w:rsidRPr="00664AE5">
        <w:rPr>
          <w:b/>
          <w:bCs/>
          <w:sz w:val="24"/>
          <w:lang w:val="fr-FR"/>
        </w:rPr>
        <w:t>évaluation</w:t>
      </w:r>
    </w:p>
    <w:p w:rsidR="00C570CD" w:rsidRDefault="002F5C01" w:rsidP="00C570CD">
      <w:r>
        <w:rPr>
          <w:lang w:val="fr-FR"/>
        </w:rPr>
        <w:t>L</w:t>
      </w:r>
      <w:r w:rsidR="00021791">
        <w:rPr>
          <w:lang w:val="fr-FR"/>
        </w:rPr>
        <w:t>’</w:t>
      </w:r>
      <w:r>
        <w:rPr>
          <w:lang w:val="fr-FR"/>
        </w:rPr>
        <w:t>évaluation de la formation peut être considérée à quatre niveaux au moins, définis en termes d</w:t>
      </w:r>
      <w:r w:rsidR="00021791">
        <w:rPr>
          <w:lang w:val="fr-FR"/>
        </w:rPr>
        <w:t>’</w:t>
      </w:r>
      <w:r>
        <w:rPr>
          <w:lang w:val="fr-FR"/>
        </w:rPr>
        <w:t xml:space="preserve">objectif, de qui est évalué et du contexte. Les quatre niveaux décrits ici ont été rendus célèbres par Donald Kirkpatrick. Pour plus de détails au-delà de cette brève synthèse, </w:t>
      </w:r>
      <w:r w:rsidR="00021791">
        <w:rPr>
          <w:lang w:val="fr-FR"/>
        </w:rPr>
        <w:t>consultez</w:t>
      </w:r>
      <w:r>
        <w:rPr>
          <w:lang w:val="fr-FR"/>
        </w:rPr>
        <w:t xml:space="preserve"> les sites suivants</w:t>
      </w:r>
      <w:r w:rsidR="00021791">
        <w:rPr>
          <w:lang w:val="fr-FR"/>
        </w:rPr>
        <w:t> </w:t>
      </w:r>
      <w:r>
        <w:rPr>
          <w:lang w:val="fr-FR"/>
        </w:rPr>
        <w:t>:</w:t>
      </w:r>
    </w:p>
    <w:p w:rsidR="00C570CD" w:rsidRPr="006D7F93" w:rsidRDefault="00A04820" w:rsidP="00C570CD">
      <w:pPr>
        <w:pStyle w:val="Paragraphedeliste"/>
        <w:numPr>
          <w:ilvl w:val="0"/>
          <w:numId w:val="1"/>
        </w:numPr>
        <w:rPr>
          <w:sz w:val="20"/>
          <w:szCs w:val="20"/>
        </w:rPr>
      </w:pPr>
      <w:hyperlink r:id="rId9" w:history="1">
        <w:r w:rsidR="002F5C01" w:rsidRPr="006D7F93">
          <w:rPr>
            <w:rStyle w:val="Lienhypertexte"/>
            <w:sz w:val="20"/>
            <w:szCs w:val="20"/>
            <w:lang w:val="fr-FR"/>
          </w:rPr>
          <w:t>http://www.kirkpatrickpartners.com/OurPhilosophy/TheKirkpatrickModel/tabid/302/Default.aspx</w:t>
        </w:r>
      </w:hyperlink>
    </w:p>
    <w:p w:rsidR="00B02E11" w:rsidRPr="006D7F93" w:rsidRDefault="00A04820" w:rsidP="00C570CD">
      <w:pPr>
        <w:pStyle w:val="Paragraphedeliste"/>
        <w:numPr>
          <w:ilvl w:val="0"/>
          <w:numId w:val="1"/>
        </w:numPr>
        <w:rPr>
          <w:sz w:val="20"/>
          <w:szCs w:val="20"/>
        </w:rPr>
      </w:pPr>
      <w:hyperlink r:id="rId10" w:history="1">
        <w:r w:rsidR="002F5C01" w:rsidRPr="006D7F93">
          <w:rPr>
            <w:rStyle w:val="Lienhypertexte"/>
            <w:sz w:val="20"/>
            <w:szCs w:val="20"/>
            <w:lang w:val="fr-FR"/>
          </w:rPr>
          <w:t>http://www.businessballs.com/kirkpatricklearningevaluationmodel.htm</w:t>
        </w:r>
      </w:hyperlink>
    </w:p>
    <w:p w:rsidR="006E0459" w:rsidRDefault="00A04820" w:rsidP="00C570CD">
      <w:pPr>
        <w:rPr>
          <w:b/>
        </w:rPr>
      </w:pPr>
    </w:p>
    <w:p w:rsidR="00C570CD" w:rsidRPr="00B02E11" w:rsidRDefault="002F5C01" w:rsidP="00C570CD">
      <w:pPr>
        <w:rPr>
          <w:b/>
        </w:rPr>
      </w:pPr>
      <w:r w:rsidRPr="00B02E11">
        <w:rPr>
          <w:b/>
          <w:bCs/>
          <w:lang w:val="fr-FR"/>
        </w:rPr>
        <w:t>Niveau</w:t>
      </w:r>
      <w:r w:rsidR="00021791">
        <w:rPr>
          <w:b/>
          <w:bCs/>
          <w:lang w:val="fr-FR"/>
        </w:rPr>
        <w:t> </w:t>
      </w:r>
      <w:r w:rsidRPr="00B02E11">
        <w:rPr>
          <w:b/>
          <w:bCs/>
          <w:lang w:val="fr-FR"/>
        </w:rPr>
        <w:t>1</w:t>
      </w:r>
      <w:r w:rsidR="00021791">
        <w:rPr>
          <w:b/>
          <w:bCs/>
          <w:lang w:val="fr-FR"/>
        </w:rPr>
        <w:t> </w:t>
      </w:r>
      <w:r w:rsidRPr="00B02E11">
        <w:rPr>
          <w:b/>
          <w:bCs/>
          <w:lang w:val="fr-FR"/>
        </w:rPr>
        <w:t>:</w:t>
      </w:r>
      <w:r w:rsidRPr="00B02E11">
        <w:rPr>
          <w:lang w:val="fr-FR"/>
        </w:rPr>
        <w:t xml:space="preserve"> </w:t>
      </w:r>
      <w:r w:rsidRPr="00B02E11">
        <w:rPr>
          <w:b/>
          <w:bCs/>
          <w:lang w:val="fr-FR"/>
        </w:rPr>
        <w:t>Réaction</w:t>
      </w:r>
    </w:p>
    <w:p w:rsidR="00B02E11" w:rsidRDefault="00021791" w:rsidP="00C570CD">
      <w:r>
        <w:rPr>
          <w:lang w:val="fr-FR"/>
        </w:rPr>
        <w:t>Les</w:t>
      </w:r>
      <w:r w:rsidR="002F5C01">
        <w:rPr>
          <w:lang w:val="fr-FR"/>
        </w:rPr>
        <w:t xml:space="preserve"> sentiments des participants à l</w:t>
      </w:r>
      <w:r>
        <w:rPr>
          <w:lang w:val="fr-FR"/>
        </w:rPr>
        <w:t>’</w:t>
      </w:r>
      <w:r w:rsidR="002F5C01">
        <w:rPr>
          <w:lang w:val="fr-FR"/>
        </w:rPr>
        <w:t>expérience de formation sont évalués, notamment</w:t>
      </w:r>
    </w:p>
    <w:p w:rsidR="00B02E11" w:rsidRDefault="002F5C01" w:rsidP="00B02E11">
      <w:pPr>
        <w:pStyle w:val="Paragraphedeliste"/>
        <w:numPr>
          <w:ilvl w:val="0"/>
          <w:numId w:val="2"/>
        </w:numPr>
      </w:pPr>
      <w:r>
        <w:rPr>
          <w:lang w:val="fr-FR"/>
        </w:rPr>
        <w:t>s</w:t>
      </w:r>
      <w:r w:rsidR="00021791">
        <w:rPr>
          <w:lang w:val="fr-FR"/>
        </w:rPr>
        <w:t>’</w:t>
      </w:r>
      <w:r>
        <w:rPr>
          <w:lang w:val="fr-FR"/>
        </w:rPr>
        <w:t>ils pensent qu</w:t>
      </w:r>
      <w:r w:rsidR="00021791">
        <w:rPr>
          <w:lang w:val="fr-FR"/>
        </w:rPr>
        <w:t>’</w:t>
      </w:r>
      <w:r>
        <w:rPr>
          <w:lang w:val="fr-FR"/>
        </w:rPr>
        <w:t>elle était efficace</w:t>
      </w:r>
    </w:p>
    <w:p w:rsidR="00B02E11" w:rsidRDefault="002F5C01" w:rsidP="00B02E11">
      <w:pPr>
        <w:pStyle w:val="Paragraphedeliste"/>
        <w:numPr>
          <w:ilvl w:val="0"/>
          <w:numId w:val="2"/>
        </w:numPr>
      </w:pPr>
      <w:r>
        <w:rPr>
          <w:lang w:val="fr-FR"/>
        </w:rPr>
        <w:t>si c</w:t>
      </w:r>
      <w:r w:rsidR="00021791">
        <w:rPr>
          <w:lang w:val="fr-FR"/>
        </w:rPr>
        <w:t>’</w:t>
      </w:r>
      <w:r>
        <w:rPr>
          <w:lang w:val="fr-FR"/>
        </w:rPr>
        <w:t xml:space="preserve">était une expérience positive </w:t>
      </w:r>
    </w:p>
    <w:p w:rsidR="00B02E11" w:rsidRDefault="002F5C01" w:rsidP="00B02E11">
      <w:pPr>
        <w:pStyle w:val="Paragraphedeliste"/>
        <w:numPr>
          <w:ilvl w:val="0"/>
          <w:numId w:val="2"/>
        </w:numPr>
      </w:pPr>
      <w:r>
        <w:rPr>
          <w:lang w:val="fr-FR"/>
        </w:rPr>
        <w:t>si elle était adaptée et de valeur</w:t>
      </w:r>
    </w:p>
    <w:p w:rsidR="00021791" w:rsidRDefault="002F5C01" w:rsidP="00B02E11">
      <w:pPr>
        <w:rPr>
          <w:lang w:val="fr-FR"/>
        </w:rPr>
      </w:pPr>
      <w:r w:rsidRPr="001D4C55">
        <w:rPr>
          <w:i/>
          <w:iCs/>
          <w:lang w:val="fr-FR"/>
        </w:rPr>
        <w:t>Qui est évalué</w:t>
      </w:r>
      <w:r w:rsidR="00021791">
        <w:rPr>
          <w:i/>
          <w:iCs/>
          <w:lang w:val="fr-FR"/>
        </w:rPr>
        <w:t> </w:t>
      </w:r>
      <w:r w:rsidRPr="001D4C55">
        <w:rPr>
          <w:i/>
          <w:iCs/>
          <w:lang w:val="fr-FR"/>
        </w:rPr>
        <w:t xml:space="preserve">? </w:t>
      </w:r>
      <w:r w:rsidRPr="001D4C55">
        <w:rPr>
          <w:lang w:val="fr-FR"/>
        </w:rPr>
        <w:t>L</w:t>
      </w:r>
      <w:r w:rsidR="00021791">
        <w:rPr>
          <w:lang w:val="fr-FR"/>
        </w:rPr>
        <w:t>’</w:t>
      </w:r>
      <w:r w:rsidRPr="001D4C55">
        <w:rPr>
          <w:lang w:val="fr-FR"/>
        </w:rPr>
        <w:t xml:space="preserve">équipe des formateurs est évaluée </w:t>
      </w:r>
    </w:p>
    <w:p w:rsidR="000C79C4" w:rsidRDefault="00021791" w:rsidP="00B02E11">
      <w:r>
        <w:rPr>
          <w:lang w:val="fr-FR"/>
        </w:rPr>
        <w:t>É</w:t>
      </w:r>
      <w:r w:rsidR="002F5C01" w:rsidRPr="001D4C55">
        <w:rPr>
          <w:lang w:val="fr-FR"/>
        </w:rPr>
        <w:t>valuation indirecte</w:t>
      </w:r>
      <w:r>
        <w:rPr>
          <w:lang w:val="fr-FR"/>
        </w:rPr>
        <w:t> </w:t>
      </w:r>
      <w:r w:rsidR="002F5C01" w:rsidRPr="001D4C55">
        <w:rPr>
          <w:lang w:val="fr-FR"/>
        </w:rPr>
        <w:t>:</w:t>
      </w:r>
    </w:p>
    <w:p w:rsidR="000C79C4" w:rsidRDefault="002F5C01" w:rsidP="00664AE5">
      <w:pPr>
        <w:pStyle w:val="Paragraphedeliste"/>
        <w:numPr>
          <w:ilvl w:val="0"/>
          <w:numId w:val="5"/>
        </w:numPr>
      </w:pPr>
      <w:r>
        <w:rPr>
          <w:lang w:val="fr-FR"/>
        </w:rPr>
        <w:t>les apprenants (étaient-ils préparés et motivés pour apprendre</w:t>
      </w:r>
      <w:r w:rsidR="00021791">
        <w:rPr>
          <w:lang w:val="fr-FR"/>
        </w:rPr>
        <w:t> </w:t>
      </w:r>
      <w:r>
        <w:rPr>
          <w:lang w:val="fr-FR"/>
        </w:rPr>
        <w:t xml:space="preserve">?) </w:t>
      </w:r>
    </w:p>
    <w:p w:rsidR="001D4C55" w:rsidRDefault="002F5C01" w:rsidP="00664AE5">
      <w:pPr>
        <w:pStyle w:val="Paragraphedeliste"/>
        <w:numPr>
          <w:ilvl w:val="0"/>
          <w:numId w:val="5"/>
        </w:numPr>
      </w:pPr>
      <w:r>
        <w:rPr>
          <w:lang w:val="fr-FR"/>
        </w:rPr>
        <w:t>le département formation (est-ce que l</w:t>
      </w:r>
      <w:r w:rsidR="00021791">
        <w:rPr>
          <w:lang w:val="fr-FR"/>
        </w:rPr>
        <w:t>’</w:t>
      </w:r>
      <w:r>
        <w:rPr>
          <w:lang w:val="fr-FR"/>
        </w:rPr>
        <w:t>équipe de formateurs était bien assistée</w:t>
      </w:r>
      <w:r w:rsidR="00021791">
        <w:rPr>
          <w:lang w:val="fr-FR"/>
        </w:rPr>
        <w:t> </w:t>
      </w:r>
      <w:r>
        <w:rPr>
          <w:lang w:val="fr-FR"/>
        </w:rPr>
        <w:t xml:space="preserve">? </w:t>
      </w:r>
      <w:r w:rsidR="00021791">
        <w:rPr>
          <w:lang w:val="fr-FR"/>
        </w:rPr>
        <w:t>E</w:t>
      </w:r>
      <w:r>
        <w:rPr>
          <w:lang w:val="fr-FR"/>
        </w:rPr>
        <w:t>st-ce que les conditions étaient favorables</w:t>
      </w:r>
      <w:r w:rsidR="00021791">
        <w:rPr>
          <w:lang w:val="fr-FR"/>
        </w:rPr>
        <w:t> </w:t>
      </w:r>
      <w:r>
        <w:rPr>
          <w:lang w:val="fr-FR"/>
        </w:rPr>
        <w:t xml:space="preserve">?)  </w:t>
      </w:r>
    </w:p>
    <w:p w:rsidR="006E0459" w:rsidRDefault="00A04820" w:rsidP="00B02E11">
      <w:pPr>
        <w:rPr>
          <w:b/>
        </w:rPr>
      </w:pPr>
    </w:p>
    <w:p w:rsidR="00B02E11" w:rsidRDefault="002F5C01" w:rsidP="00B02E11">
      <w:pPr>
        <w:rPr>
          <w:b/>
        </w:rPr>
      </w:pPr>
      <w:r w:rsidRPr="001D4C55">
        <w:rPr>
          <w:b/>
          <w:bCs/>
          <w:lang w:val="fr-FR"/>
        </w:rPr>
        <w:t>Niveau</w:t>
      </w:r>
      <w:r w:rsidR="00021791">
        <w:rPr>
          <w:b/>
          <w:bCs/>
          <w:lang w:val="fr-FR"/>
        </w:rPr>
        <w:t> </w:t>
      </w:r>
      <w:r w:rsidRPr="001D4C55">
        <w:rPr>
          <w:b/>
          <w:bCs/>
          <w:lang w:val="fr-FR"/>
        </w:rPr>
        <w:t>2</w:t>
      </w:r>
      <w:r w:rsidR="00021791">
        <w:rPr>
          <w:b/>
          <w:bCs/>
          <w:lang w:val="fr-FR"/>
        </w:rPr>
        <w:t> </w:t>
      </w:r>
      <w:r w:rsidRPr="001D4C55">
        <w:rPr>
          <w:b/>
          <w:bCs/>
          <w:lang w:val="fr-FR"/>
        </w:rPr>
        <w:t>:</w:t>
      </w:r>
      <w:r w:rsidRPr="001D4C55">
        <w:rPr>
          <w:lang w:val="fr-FR"/>
        </w:rPr>
        <w:t xml:space="preserve"> </w:t>
      </w:r>
      <w:r w:rsidRPr="001D4C55">
        <w:rPr>
          <w:b/>
          <w:bCs/>
          <w:lang w:val="fr-FR"/>
        </w:rPr>
        <w:t>Apprentissage</w:t>
      </w:r>
    </w:p>
    <w:p w:rsidR="001D4C55" w:rsidRDefault="002F5C01" w:rsidP="00B02E11">
      <w:r>
        <w:rPr>
          <w:lang w:val="fr-FR"/>
        </w:rPr>
        <w:t>L</w:t>
      </w:r>
      <w:r w:rsidR="00021791">
        <w:rPr>
          <w:lang w:val="fr-FR"/>
        </w:rPr>
        <w:t>’</w:t>
      </w:r>
      <w:r>
        <w:rPr>
          <w:lang w:val="fr-FR"/>
        </w:rPr>
        <w:t xml:space="preserve">amélioration des connaissances, compétences et des performances des participants est évaluée. </w:t>
      </w:r>
    </w:p>
    <w:p w:rsidR="00021791" w:rsidRDefault="002F5C01" w:rsidP="00B02E11">
      <w:pPr>
        <w:rPr>
          <w:lang w:val="fr-FR"/>
        </w:rPr>
      </w:pPr>
      <w:r w:rsidRPr="001D4C55">
        <w:rPr>
          <w:i/>
          <w:iCs/>
          <w:lang w:val="fr-FR"/>
        </w:rPr>
        <w:lastRenderedPageBreak/>
        <w:t>Qui est évalué</w:t>
      </w:r>
      <w:r w:rsidR="00021791">
        <w:rPr>
          <w:i/>
          <w:iCs/>
          <w:lang w:val="fr-FR"/>
        </w:rPr>
        <w:t> </w:t>
      </w:r>
      <w:r w:rsidRPr="001D4C55">
        <w:rPr>
          <w:i/>
          <w:iCs/>
          <w:lang w:val="fr-FR"/>
        </w:rPr>
        <w:t xml:space="preserve">? </w:t>
      </w:r>
      <w:r w:rsidRPr="001D4C55">
        <w:rPr>
          <w:lang w:val="fr-FR"/>
        </w:rPr>
        <w:t xml:space="preserve">Les apprenants sont évalués directement. </w:t>
      </w:r>
      <w:r w:rsidR="00021791">
        <w:rPr>
          <w:lang w:val="fr-FR"/>
        </w:rPr>
        <w:br/>
      </w:r>
    </w:p>
    <w:p w:rsidR="000C79C4" w:rsidRDefault="00021791" w:rsidP="00B02E11">
      <w:r>
        <w:rPr>
          <w:lang w:val="fr-FR"/>
        </w:rPr>
        <w:t>É</w:t>
      </w:r>
      <w:r w:rsidR="002F5C01" w:rsidRPr="001D4C55">
        <w:rPr>
          <w:lang w:val="fr-FR"/>
        </w:rPr>
        <w:t>valuation indirecte</w:t>
      </w:r>
      <w:r>
        <w:rPr>
          <w:lang w:val="fr-FR"/>
        </w:rPr>
        <w:t> </w:t>
      </w:r>
      <w:r w:rsidR="002F5C01" w:rsidRPr="001D4C55">
        <w:rPr>
          <w:lang w:val="fr-FR"/>
        </w:rPr>
        <w:t xml:space="preserve">: </w:t>
      </w:r>
    </w:p>
    <w:p w:rsidR="000C79C4" w:rsidRDefault="002F5C01" w:rsidP="00664AE5">
      <w:pPr>
        <w:pStyle w:val="Paragraphedeliste"/>
        <w:numPr>
          <w:ilvl w:val="0"/>
          <w:numId w:val="3"/>
        </w:numPr>
      </w:pPr>
      <w:r>
        <w:rPr>
          <w:lang w:val="fr-FR"/>
        </w:rPr>
        <w:t>l</w:t>
      </w:r>
      <w:r w:rsidR="00021791">
        <w:rPr>
          <w:lang w:val="fr-FR"/>
        </w:rPr>
        <w:t>’</w:t>
      </w:r>
      <w:r>
        <w:rPr>
          <w:lang w:val="fr-FR"/>
        </w:rPr>
        <w:t>équipe de formateurs (est-ce qu</w:t>
      </w:r>
      <w:r w:rsidR="00021791">
        <w:rPr>
          <w:lang w:val="fr-FR"/>
        </w:rPr>
        <w:t>’</w:t>
      </w:r>
      <w:r>
        <w:rPr>
          <w:lang w:val="fr-FR"/>
        </w:rPr>
        <w:t>ils ont élaboré une formation efficace</w:t>
      </w:r>
      <w:r w:rsidR="00021791">
        <w:rPr>
          <w:lang w:val="fr-FR"/>
        </w:rPr>
        <w:t> </w:t>
      </w:r>
      <w:r>
        <w:rPr>
          <w:lang w:val="fr-FR"/>
        </w:rPr>
        <w:t xml:space="preserve">?) </w:t>
      </w:r>
    </w:p>
    <w:p w:rsidR="001D4C55" w:rsidRDefault="002F5C01" w:rsidP="00664AE5">
      <w:pPr>
        <w:pStyle w:val="Paragraphedeliste"/>
        <w:numPr>
          <w:ilvl w:val="0"/>
          <w:numId w:val="3"/>
        </w:numPr>
      </w:pPr>
      <w:r>
        <w:rPr>
          <w:lang w:val="fr-FR"/>
        </w:rPr>
        <w:t>le département formation (est-ce que de bonnes procédures de développement de formation étaient en place</w:t>
      </w:r>
      <w:r w:rsidR="00021791">
        <w:rPr>
          <w:lang w:val="fr-FR"/>
        </w:rPr>
        <w:t> </w:t>
      </w:r>
      <w:r>
        <w:rPr>
          <w:lang w:val="fr-FR"/>
        </w:rPr>
        <w:t xml:space="preserve">?) </w:t>
      </w:r>
    </w:p>
    <w:p w:rsidR="006E0459" w:rsidRDefault="00A04820" w:rsidP="00B02E11">
      <w:pPr>
        <w:rPr>
          <w:b/>
        </w:rPr>
      </w:pPr>
    </w:p>
    <w:p w:rsidR="006E0459" w:rsidRDefault="00A04820" w:rsidP="00B02E11">
      <w:pPr>
        <w:rPr>
          <w:b/>
        </w:rPr>
      </w:pPr>
    </w:p>
    <w:p w:rsidR="006E0459" w:rsidRDefault="00A04820" w:rsidP="00B02E11">
      <w:pPr>
        <w:rPr>
          <w:b/>
        </w:rPr>
      </w:pPr>
    </w:p>
    <w:p w:rsidR="001D4C55" w:rsidRPr="001D4C55" w:rsidRDefault="002F5C01" w:rsidP="00B02E11">
      <w:pPr>
        <w:rPr>
          <w:b/>
        </w:rPr>
      </w:pPr>
      <w:r w:rsidRPr="001D4C55">
        <w:rPr>
          <w:b/>
          <w:bCs/>
          <w:lang w:val="fr-FR"/>
        </w:rPr>
        <w:t>Niveau</w:t>
      </w:r>
      <w:r w:rsidR="00021791">
        <w:rPr>
          <w:b/>
          <w:bCs/>
          <w:lang w:val="fr-FR"/>
        </w:rPr>
        <w:t> </w:t>
      </w:r>
      <w:r w:rsidRPr="001D4C55">
        <w:rPr>
          <w:b/>
          <w:bCs/>
          <w:lang w:val="fr-FR"/>
        </w:rPr>
        <w:t>3</w:t>
      </w:r>
      <w:r w:rsidR="00021791">
        <w:rPr>
          <w:b/>
          <w:bCs/>
          <w:lang w:val="fr-FR"/>
        </w:rPr>
        <w:t> </w:t>
      </w:r>
      <w:r w:rsidRPr="001D4C55">
        <w:rPr>
          <w:b/>
          <w:bCs/>
          <w:lang w:val="fr-FR"/>
        </w:rPr>
        <w:t>:</w:t>
      </w:r>
      <w:r w:rsidRPr="001D4C55">
        <w:rPr>
          <w:lang w:val="fr-FR"/>
        </w:rPr>
        <w:t xml:space="preserve"> </w:t>
      </w:r>
      <w:r w:rsidRPr="001D4C55">
        <w:rPr>
          <w:b/>
          <w:bCs/>
          <w:lang w:val="fr-FR"/>
        </w:rPr>
        <w:t>Comportement (ou application de l</w:t>
      </w:r>
      <w:r w:rsidR="00021791">
        <w:rPr>
          <w:b/>
          <w:bCs/>
          <w:lang w:val="fr-FR"/>
        </w:rPr>
        <w:t>’</w:t>
      </w:r>
      <w:r w:rsidRPr="001D4C55">
        <w:rPr>
          <w:b/>
          <w:bCs/>
          <w:lang w:val="fr-FR"/>
        </w:rPr>
        <w:t>apprentissage)</w:t>
      </w:r>
    </w:p>
    <w:p w:rsidR="001D4C55" w:rsidRDefault="002F5C01" w:rsidP="00B02E11">
      <w:r>
        <w:rPr>
          <w:lang w:val="fr-FR"/>
        </w:rPr>
        <w:t>Selon ce que les apprenants peuvent utiliser ou choisissent d</w:t>
      </w:r>
      <w:r w:rsidR="00021791">
        <w:rPr>
          <w:lang w:val="fr-FR"/>
        </w:rPr>
        <w:t>’</w:t>
      </w:r>
      <w:r>
        <w:rPr>
          <w:lang w:val="fr-FR"/>
        </w:rPr>
        <w:t>utiliser, l</w:t>
      </w:r>
      <w:r w:rsidR="00021791">
        <w:rPr>
          <w:lang w:val="fr-FR"/>
        </w:rPr>
        <w:t>’</w:t>
      </w:r>
      <w:r>
        <w:rPr>
          <w:lang w:val="fr-FR"/>
        </w:rPr>
        <w:t xml:space="preserve">apprentissage pour leur poste de travail est évalué. </w:t>
      </w:r>
    </w:p>
    <w:p w:rsidR="000C79C4" w:rsidRDefault="002F5C01" w:rsidP="00B02E11">
      <w:r w:rsidRPr="001D4C55">
        <w:rPr>
          <w:i/>
          <w:iCs/>
          <w:lang w:val="fr-FR"/>
        </w:rPr>
        <w:t>Qui est évalué</w:t>
      </w:r>
      <w:r w:rsidR="00021791">
        <w:rPr>
          <w:i/>
          <w:iCs/>
          <w:lang w:val="fr-FR"/>
        </w:rPr>
        <w:t> </w:t>
      </w:r>
      <w:r w:rsidRPr="001D4C55">
        <w:rPr>
          <w:i/>
          <w:iCs/>
          <w:lang w:val="fr-FR"/>
        </w:rPr>
        <w:t xml:space="preserve">? </w:t>
      </w:r>
      <w:r w:rsidRPr="001D4C55">
        <w:rPr>
          <w:lang w:val="fr-FR"/>
        </w:rPr>
        <w:t xml:space="preserve">Les apprenants sont évalués directement. </w:t>
      </w:r>
      <w:r w:rsidR="00021791">
        <w:rPr>
          <w:lang w:val="fr-FR"/>
        </w:rPr>
        <w:t>É</w:t>
      </w:r>
      <w:r w:rsidRPr="001D4C55">
        <w:rPr>
          <w:lang w:val="fr-FR"/>
        </w:rPr>
        <w:t>valuation indirecte</w:t>
      </w:r>
      <w:r w:rsidR="00021791">
        <w:rPr>
          <w:lang w:val="fr-FR"/>
        </w:rPr>
        <w:t> </w:t>
      </w:r>
      <w:r w:rsidRPr="001D4C55">
        <w:rPr>
          <w:lang w:val="fr-FR"/>
        </w:rPr>
        <w:t xml:space="preserve">: </w:t>
      </w:r>
    </w:p>
    <w:p w:rsidR="000C79C4" w:rsidRDefault="002F5C01" w:rsidP="00664AE5">
      <w:pPr>
        <w:pStyle w:val="Paragraphedeliste"/>
        <w:numPr>
          <w:ilvl w:val="0"/>
          <w:numId w:val="4"/>
        </w:numPr>
      </w:pPr>
      <w:r>
        <w:rPr>
          <w:lang w:val="fr-FR"/>
        </w:rPr>
        <w:t>l</w:t>
      </w:r>
      <w:r w:rsidR="00021791">
        <w:rPr>
          <w:lang w:val="fr-FR"/>
        </w:rPr>
        <w:t>’</w:t>
      </w:r>
      <w:r>
        <w:rPr>
          <w:lang w:val="fr-FR"/>
        </w:rPr>
        <w:t>équipe de formateurs et le département formation (est-ce que la formation a visé des compétences essentielles et fourni des exercices d</w:t>
      </w:r>
      <w:r w:rsidR="00021791">
        <w:rPr>
          <w:lang w:val="fr-FR"/>
        </w:rPr>
        <w:t>’</w:t>
      </w:r>
      <w:r>
        <w:rPr>
          <w:lang w:val="fr-FR"/>
        </w:rPr>
        <w:t>application</w:t>
      </w:r>
      <w:r w:rsidR="00021791">
        <w:rPr>
          <w:lang w:val="fr-FR"/>
        </w:rPr>
        <w:t> </w:t>
      </w:r>
      <w:r>
        <w:rPr>
          <w:lang w:val="fr-FR"/>
        </w:rPr>
        <w:t>?)</w:t>
      </w:r>
    </w:p>
    <w:p w:rsidR="007D6B16" w:rsidRDefault="002F5C01" w:rsidP="007D6B16">
      <w:pPr>
        <w:pStyle w:val="Paragraphedeliste"/>
        <w:numPr>
          <w:ilvl w:val="0"/>
          <w:numId w:val="4"/>
        </w:numPr>
      </w:pPr>
      <w:r>
        <w:rPr>
          <w:lang w:val="fr-FR"/>
        </w:rPr>
        <w:t>l</w:t>
      </w:r>
      <w:r w:rsidR="00021791">
        <w:rPr>
          <w:lang w:val="fr-FR"/>
        </w:rPr>
        <w:t>’</w:t>
      </w:r>
      <w:r>
        <w:rPr>
          <w:lang w:val="fr-FR"/>
        </w:rPr>
        <w:t>organisation ou institution (est-ce qu</w:t>
      </w:r>
      <w:r w:rsidR="00021791">
        <w:rPr>
          <w:lang w:val="fr-FR"/>
        </w:rPr>
        <w:t>’</w:t>
      </w:r>
      <w:r>
        <w:rPr>
          <w:lang w:val="fr-FR"/>
        </w:rPr>
        <w:t>elle soutient une formation orientée vers l</w:t>
      </w:r>
      <w:r w:rsidR="00021791">
        <w:rPr>
          <w:lang w:val="fr-FR"/>
        </w:rPr>
        <w:t>’</w:t>
      </w:r>
      <w:r>
        <w:rPr>
          <w:lang w:val="fr-FR"/>
        </w:rPr>
        <w:t>application</w:t>
      </w:r>
      <w:r w:rsidR="00021791">
        <w:rPr>
          <w:lang w:val="fr-FR"/>
        </w:rPr>
        <w:t> </w:t>
      </w:r>
      <w:r>
        <w:rPr>
          <w:lang w:val="fr-FR"/>
        </w:rPr>
        <w:t>?)</w:t>
      </w:r>
    </w:p>
    <w:p w:rsidR="001D4C55" w:rsidRDefault="002F5C01" w:rsidP="00664AE5">
      <w:pPr>
        <w:pStyle w:val="Paragraphedeliste"/>
        <w:numPr>
          <w:ilvl w:val="0"/>
          <w:numId w:val="4"/>
        </w:numPr>
      </w:pPr>
      <w:r>
        <w:rPr>
          <w:lang w:val="fr-FR"/>
        </w:rPr>
        <w:t>les organisations des apprenants (est-ce que le soutien et la motivation sont présents pour appliquer l</w:t>
      </w:r>
      <w:r w:rsidR="00021791">
        <w:rPr>
          <w:lang w:val="fr-FR"/>
        </w:rPr>
        <w:t>’</w:t>
      </w:r>
      <w:r>
        <w:rPr>
          <w:lang w:val="fr-FR"/>
        </w:rPr>
        <w:t>apprentissage</w:t>
      </w:r>
      <w:r w:rsidR="00021791">
        <w:rPr>
          <w:lang w:val="fr-FR"/>
        </w:rPr>
        <w:t> </w:t>
      </w:r>
      <w:r>
        <w:rPr>
          <w:lang w:val="fr-FR"/>
        </w:rPr>
        <w:t>?).</w:t>
      </w:r>
    </w:p>
    <w:p w:rsidR="006E0459" w:rsidRDefault="00A04820" w:rsidP="00664AE5">
      <w:pPr>
        <w:keepNext/>
        <w:rPr>
          <w:b/>
        </w:rPr>
      </w:pPr>
    </w:p>
    <w:p w:rsidR="001D4C55" w:rsidRPr="001D4C55" w:rsidRDefault="002F5C01" w:rsidP="00664AE5">
      <w:pPr>
        <w:keepNext/>
        <w:rPr>
          <w:b/>
        </w:rPr>
      </w:pPr>
      <w:r w:rsidRPr="001D4C55">
        <w:rPr>
          <w:b/>
          <w:bCs/>
          <w:lang w:val="fr-FR"/>
        </w:rPr>
        <w:t>Niveau</w:t>
      </w:r>
      <w:r w:rsidR="00021791">
        <w:rPr>
          <w:b/>
          <w:bCs/>
          <w:lang w:val="fr-FR"/>
        </w:rPr>
        <w:t> </w:t>
      </w:r>
      <w:r w:rsidRPr="001D4C55">
        <w:rPr>
          <w:b/>
          <w:bCs/>
          <w:lang w:val="fr-FR"/>
        </w:rPr>
        <w:t>4</w:t>
      </w:r>
      <w:r w:rsidR="00021791">
        <w:rPr>
          <w:b/>
          <w:bCs/>
          <w:lang w:val="fr-FR"/>
        </w:rPr>
        <w:t> </w:t>
      </w:r>
      <w:r w:rsidRPr="001D4C55">
        <w:rPr>
          <w:b/>
          <w:bCs/>
          <w:lang w:val="fr-FR"/>
        </w:rPr>
        <w:t>:</w:t>
      </w:r>
      <w:r w:rsidRPr="001D4C55">
        <w:rPr>
          <w:lang w:val="fr-FR"/>
        </w:rPr>
        <w:t xml:space="preserve"> </w:t>
      </w:r>
      <w:r w:rsidRPr="001D4C55">
        <w:rPr>
          <w:b/>
          <w:bCs/>
          <w:lang w:val="fr-FR"/>
        </w:rPr>
        <w:t>Résultats</w:t>
      </w:r>
    </w:p>
    <w:p w:rsidR="001D4C55" w:rsidRDefault="002F5C01" w:rsidP="00B02E11">
      <w:r>
        <w:rPr>
          <w:lang w:val="fr-FR"/>
        </w:rPr>
        <w:t>L</w:t>
      </w:r>
      <w:r w:rsidR="00021791">
        <w:rPr>
          <w:lang w:val="fr-FR"/>
        </w:rPr>
        <w:t>’</w:t>
      </w:r>
      <w:r>
        <w:rPr>
          <w:lang w:val="fr-FR"/>
        </w:rPr>
        <w:t>impact des objectifs pédagogiques est évalué. Est-ce que la formation, en supposant que l</w:t>
      </w:r>
      <w:r w:rsidR="00021791">
        <w:rPr>
          <w:lang w:val="fr-FR"/>
        </w:rPr>
        <w:t>’</w:t>
      </w:r>
      <w:r>
        <w:rPr>
          <w:lang w:val="fr-FR"/>
        </w:rPr>
        <w:t>apprentissage s</w:t>
      </w:r>
      <w:r w:rsidR="00021791">
        <w:rPr>
          <w:lang w:val="fr-FR"/>
        </w:rPr>
        <w:t>’</w:t>
      </w:r>
      <w:r>
        <w:rPr>
          <w:lang w:val="fr-FR"/>
        </w:rPr>
        <w:t>est bien déroulé (niveau</w:t>
      </w:r>
      <w:r w:rsidR="00021791">
        <w:rPr>
          <w:lang w:val="fr-FR"/>
        </w:rPr>
        <w:t> </w:t>
      </w:r>
      <w:r>
        <w:rPr>
          <w:lang w:val="fr-FR"/>
        </w:rPr>
        <w:t>2) et a été bien appliqué (niveau</w:t>
      </w:r>
      <w:r w:rsidR="00021791">
        <w:rPr>
          <w:lang w:val="fr-FR"/>
        </w:rPr>
        <w:t> </w:t>
      </w:r>
      <w:r>
        <w:rPr>
          <w:lang w:val="fr-FR"/>
        </w:rPr>
        <w:t>3) a un impact sur les performances organisationnelles</w:t>
      </w:r>
      <w:r w:rsidR="00021791">
        <w:rPr>
          <w:lang w:val="fr-FR"/>
        </w:rPr>
        <w:t> </w:t>
      </w:r>
      <w:r>
        <w:rPr>
          <w:lang w:val="fr-FR"/>
        </w:rPr>
        <w:t>?</w:t>
      </w:r>
    </w:p>
    <w:p w:rsidR="00021791" w:rsidRDefault="002F5C01" w:rsidP="00B02E11">
      <w:pPr>
        <w:rPr>
          <w:lang w:val="fr-FR"/>
        </w:rPr>
      </w:pPr>
      <w:r w:rsidRPr="00D7125B">
        <w:rPr>
          <w:i/>
          <w:iCs/>
          <w:lang w:val="fr-FR"/>
        </w:rPr>
        <w:t>Qui est évalué</w:t>
      </w:r>
      <w:r w:rsidR="00021791">
        <w:rPr>
          <w:i/>
          <w:iCs/>
          <w:lang w:val="fr-FR"/>
        </w:rPr>
        <w:t> ?</w:t>
      </w:r>
      <w:r w:rsidRPr="00D7125B">
        <w:rPr>
          <w:i/>
          <w:iCs/>
          <w:lang w:val="fr-FR"/>
        </w:rPr>
        <w:t xml:space="preserve"> </w:t>
      </w:r>
      <w:r w:rsidRPr="00D7125B">
        <w:rPr>
          <w:lang w:val="fr-FR"/>
        </w:rPr>
        <w:t xml:space="preserve">Les organisations dans lesquelles les apprenants travaillent sont directement évaluées. </w:t>
      </w:r>
    </w:p>
    <w:p w:rsidR="00D2681F" w:rsidRDefault="00021791" w:rsidP="00B02E11">
      <w:r>
        <w:rPr>
          <w:lang w:val="fr-FR"/>
        </w:rPr>
        <w:t>É</w:t>
      </w:r>
      <w:r w:rsidR="002F5C01" w:rsidRPr="00D7125B">
        <w:rPr>
          <w:lang w:val="fr-FR"/>
        </w:rPr>
        <w:t>valuation indirecte</w:t>
      </w:r>
      <w:r>
        <w:rPr>
          <w:lang w:val="fr-FR"/>
        </w:rPr>
        <w:t> </w:t>
      </w:r>
      <w:r w:rsidR="002F5C01" w:rsidRPr="00D7125B">
        <w:rPr>
          <w:lang w:val="fr-FR"/>
        </w:rPr>
        <w:t>:</w:t>
      </w:r>
    </w:p>
    <w:p w:rsidR="007F3E9A" w:rsidRPr="007F3E9A" w:rsidRDefault="002F5C01" w:rsidP="00664AE5">
      <w:pPr>
        <w:pStyle w:val="Paragraphedeliste"/>
        <w:numPr>
          <w:ilvl w:val="0"/>
          <w:numId w:val="6"/>
        </w:numPr>
      </w:pPr>
      <w:r>
        <w:rPr>
          <w:lang w:val="fr-FR"/>
        </w:rPr>
        <w:t>Tous les composants du système de formation sont évalués. (Est-ce que la formation s</w:t>
      </w:r>
      <w:r w:rsidR="00021791">
        <w:rPr>
          <w:lang w:val="fr-FR"/>
        </w:rPr>
        <w:t>’</w:t>
      </w:r>
      <w:r>
        <w:rPr>
          <w:lang w:val="fr-FR"/>
        </w:rPr>
        <w:t>est tournée vers les besoins prioritaires</w:t>
      </w:r>
      <w:r w:rsidR="00021791">
        <w:rPr>
          <w:lang w:val="fr-FR"/>
        </w:rPr>
        <w:t> </w:t>
      </w:r>
      <w:r>
        <w:rPr>
          <w:lang w:val="fr-FR"/>
        </w:rPr>
        <w:t>? Est-ce que l</w:t>
      </w:r>
      <w:r w:rsidR="00021791">
        <w:rPr>
          <w:lang w:val="fr-FR"/>
        </w:rPr>
        <w:t>’</w:t>
      </w:r>
      <w:r>
        <w:rPr>
          <w:lang w:val="fr-FR"/>
        </w:rPr>
        <w:t>application de l</w:t>
      </w:r>
      <w:r w:rsidR="00021791">
        <w:rPr>
          <w:lang w:val="fr-FR"/>
        </w:rPr>
        <w:t>’</w:t>
      </w:r>
      <w:r>
        <w:rPr>
          <w:lang w:val="fr-FR"/>
        </w:rPr>
        <w:t>apprentissage (transfert sur le poste de travail) est soutenu</w:t>
      </w:r>
      <w:r w:rsidR="00021791">
        <w:rPr>
          <w:lang w:val="fr-FR"/>
        </w:rPr>
        <w:t>e</w:t>
      </w:r>
      <w:r>
        <w:rPr>
          <w:lang w:val="fr-FR"/>
        </w:rPr>
        <w:t xml:space="preserve"> par l</w:t>
      </w:r>
      <w:r w:rsidR="00021791">
        <w:rPr>
          <w:lang w:val="fr-FR"/>
        </w:rPr>
        <w:t>’</w:t>
      </w:r>
      <w:r>
        <w:rPr>
          <w:lang w:val="fr-FR"/>
        </w:rPr>
        <w:t>organisation</w:t>
      </w:r>
      <w:r w:rsidR="00021791">
        <w:rPr>
          <w:lang w:val="fr-FR"/>
        </w:rPr>
        <w:t> </w:t>
      </w:r>
      <w:r>
        <w:rPr>
          <w:lang w:val="fr-FR"/>
        </w:rPr>
        <w:t>? Est-ce que les contrôles des apprentissages ont été valables</w:t>
      </w:r>
      <w:r w:rsidR="00021791">
        <w:rPr>
          <w:lang w:val="fr-FR"/>
        </w:rPr>
        <w:t> </w:t>
      </w:r>
      <w:r>
        <w:rPr>
          <w:lang w:val="fr-FR"/>
        </w:rPr>
        <w:t>? Est-ce que les exercices pratiques effectués pendant la formation sont valables pour l</w:t>
      </w:r>
      <w:r w:rsidR="00021791">
        <w:rPr>
          <w:lang w:val="fr-FR"/>
        </w:rPr>
        <w:t>’</w:t>
      </w:r>
      <w:r>
        <w:rPr>
          <w:lang w:val="fr-FR"/>
        </w:rPr>
        <w:t>application sur le poste de travail</w:t>
      </w:r>
      <w:r w:rsidR="00021791">
        <w:rPr>
          <w:lang w:val="fr-FR"/>
        </w:rPr>
        <w:t> </w:t>
      </w:r>
      <w:r>
        <w:rPr>
          <w:lang w:val="fr-FR"/>
        </w:rPr>
        <w:t>? Est-ce que les apprenants étaient motivés pour évaluer et améliorer leurs performances</w:t>
      </w:r>
      <w:r w:rsidR="00021791">
        <w:rPr>
          <w:lang w:val="fr-FR"/>
        </w:rPr>
        <w:t> </w:t>
      </w:r>
      <w:r>
        <w:rPr>
          <w:lang w:val="fr-FR"/>
        </w:rPr>
        <w:t>?</w:t>
      </w:r>
    </w:p>
    <w:p w:rsidR="00A30EAD" w:rsidRPr="007F3E9A" w:rsidRDefault="00A04820" w:rsidP="007F3E9A">
      <w:pPr>
        <w:pStyle w:val="Paragraphedeliste"/>
        <w:ind w:left="760"/>
      </w:pPr>
    </w:p>
    <w:p w:rsidR="007F3E9A" w:rsidRDefault="002F5C01" w:rsidP="006E0459">
      <w:pPr>
        <w:ind w:left="400"/>
        <w:jc w:val="center"/>
        <w:rPr>
          <w:b/>
          <w:bCs/>
          <w:lang w:val="fr-FR"/>
        </w:rPr>
      </w:pPr>
      <w:r w:rsidRPr="007F3E9A">
        <w:rPr>
          <w:b/>
          <w:bCs/>
          <w:lang w:val="fr-FR"/>
        </w:rPr>
        <w:lastRenderedPageBreak/>
        <w:t>Qui est évalué pour les quatre niveaux d</w:t>
      </w:r>
      <w:r w:rsidR="00021791">
        <w:rPr>
          <w:b/>
          <w:bCs/>
          <w:lang w:val="fr-FR"/>
        </w:rPr>
        <w:t>’</w:t>
      </w:r>
      <w:r w:rsidRPr="007F3E9A">
        <w:rPr>
          <w:b/>
          <w:bCs/>
          <w:lang w:val="fr-FR"/>
        </w:rPr>
        <w:t>évaluation</w:t>
      </w:r>
      <w:r w:rsidR="00021791">
        <w:rPr>
          <w:b/>
          <w:bCs/>
          <w:lang w:val="fr-FR"/>
        </w:rPr>
        <w:t> </w:t>
      </w:r>
      <w:r w:rsidRPr="007F3E9A">
        <w:rPr>
          <w:b/>
          <w:bCs/>
          <w:lang w:val="fr-FR"/>
        </w:rPr>
        <w:t>?</w:t>
      </w:r>
    </w:p>
    <w:p w:rsidR="00B379C6" w:rsidRDefault="00B379C6" w:rsidP="006E0459">
      <w:pPr>
        <w:ind w:left="400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4381500" cy="186723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064" cy="186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7FC" w:rsidRPr="001D4C55" w:rsidRDefault="002F5C01" w:rsidP="00D529E1">
      <w:pPr>
        <w:spacing w:before="600"/>
      </w:pPr>
      <w:r>
        <w:rPr>
          <w:lang w:val="fr-FR"/>
        </w:rPr>
        <w:t>Examinez le diagramme ci-dessus. Expliquez pourquoi le groupe des parties prenantes évaluées s</w:t>
      </w:r>
      <w:r w:rsidR="00021791">
        <w:rPr>
          <w:lang w:val="fr-FR"/>
        </w:rPr>
        <w:t>’</w:t>
      </w:r>
      <w:r>
        <w:rPr>
          <w:lang w:val="fr-FR"/>
        </w:rPr>
        <w:t>élargit au fur et à mesure de la montée du niveau d</w:t>
      </w:r>
      <w:r w:rsidR="00021791">
        <w:rPr>
          <w:lang w:val="fr-FR"/>
        </w:rPr>
        <w:t>’</w:t>
      </w:r>
      <w:r>
        <w:rPr>
          <w:lang w:val="fr-FR"/>
        </w:rPr>
        <w:t>évaluation. Est-ce que vous êtes en désaccord avec l</w:t>
      </w:r>
      <w:r w:rsidR="00021791">
        <w:rPr>
          <w:lang w:val="fr-FR"/>
        </w:rPr>
        <w:t>’</w:t>
      </w:r>
      <w:r>
        <w:rPr>
          <w:lang w:val="fr-FR"/>
        </w:rPr>
        <w:t>une des affirmations sur qui est évalué à chaque niveau</w:t>
      </w:r>
      <w:r w:rsidR="00021791">
        <w:rPr>
          <w:lang w:val="fr-FR"/>
        </w:rPr>
        <w:t> </w:t>
      </w:r>
      <w:r>
        <w:rPr>
          <w:lang w:val="fr-FR"/>
        </w:rPr>
        <w:t>? Quel</w:t>
      </w:r>
      <w:r w:rsidR="00021791">
        <w:rPr>
          <w:lang w:val="fr-FR"/>
        </w:rPr>
        <w:t>le</w:t>
      </w:r>
      <w:r>
        <w:rPr>
          <w:lang w:val="fr-FR"/>
        </w:rPr>
        <w:t>s autres composantes du système de formation non mentionnées sont évaluées</w:t>
      </w:r>
      <w:r w:rsidR="00021791">
        <w:rPr>
          <w:lang w:val="fr-FR"/>
        </w:rPr>
        <w:t> </w:t>
      </w:r>
      <w:r>
        <w:rPr>
          <w:lang w:val="fr-FR"/>
        </w:rPr>
        <w:t>?</w:t>
      </w:r>
      <w:bookmarkStart w:id="0" w:name="_GoBack"/>
      <w:bookmarkEnd w:id="0"/>
    </w:p>
    <w:sectPr w:rsidR="001007FC" w:rsidRPr="001D4C55" w:rsidSect="006D7F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440" w:right="1440" w:bottom="1440" w:left="144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20" w:rsidRDefault="00A04820">
      <w:pPr>
        <w:spacing w:after="0" w:line="240" w:lineRule="auto"/>
      </w:pPr>
      <w:r>
        <w:separator/>
      </w:r>
    </w:p>
  </w:endnote>
  <w:endnote w:type="continuationSeparator" w:id="0">
    <w:p w:rsidR="00A04820" w:rsidRDefault="00A0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13" w:rsidRDefault="002F5C01" w:rsidP="00D17A0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C6913" w:rsidRDefault="00A0482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13" w:rsidRDefault="002F5C01" w:rsidP="00D17A0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379C6">
      <w:rPr>
        <w:rStyle w:val="Numrodepage"/>
        <w:noProof/>
      </w:rPr>
      <w:t>4</w:t>
    </w:r>
    <w:r>
      <w:rPr>
        <w:rStyle w:val="Numrodepage"/>
      </w:rPr>
      <w:fldChar w:fldCharType="end"/>
    </w:r>
  </w:p>
  <w:tbl>
    <w:tblPr>
      <w:tblStyle w:val="Grilledutableau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13"/>
      <w:gridCol w:w="4623"/>
    </w:tblGrid>
    <w:tr w:rsidR="001128FB" w:rsidTr="008555AB">
      <w:tc>
        <w:tcPr>
          <w:tcW w:w="4788" w:type="dxa"/>
          <w:tcMar>
            <w:top w:w="113" w:type="dxa"/>
          </w:tcMar>
        </w:tcPr>
        <w:p w:rsidR="00CC6913" w:rsidRDefault="002F5C01" w:rsidP="008555AB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  <w:lang w:val="fr-FR"/>
            </w:rPr>
            <w:t>Version 2.1 2017</w:t>
          </w:r>
        </w:p>
      </w:tc>
      <w:tc>
        <w:tcPr>
          <w:tcW w:w="4788" w:type="dxa"/>
          <w:tcMar>
            <w:top w:w="113" w:type="dxa"/>
          </w:tcMar>
        </w:tcPr>
        <w:p w:rsidR="00CC6913" w:rsidRDefault="002F5C01" w:rsidP="008555AB">
          <w:pPr>
            <w:pStyle w:val="Pieddepage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42476" w:rsidRDefault="00A0482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91" w:rsidRDefault="000217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20" w:rsidRDefault="00A04820">
      <w:pPr>
        <w:spacing w:after="0" w:line="240" w:lineRule="auto"/>
      </w:pPr>
      <w:r>
        <w:separator/>
      </w:r>
    </w:p>
  </w:footnote>
  <w:footnote w:type="continuationSeparator" w:id="0">
    <w:p w:rsidR="00A04820" w:rsidRDefault="00A0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91" w:rsidRDefault="0002179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76" w:rsidRPr="00CC6913" w:rsidRDefault="002F5C01">
    <w:pPr>
      <w:pStyle w:val="En-tte"/>
      <w:rPr>
        <w:rFonts w:ascii="Arial" w:hAnsi="Arial" w:cs="Arial"/>
        <w:sz w:val="18"/>
        <w:szCs w:val="18"/>
      </w:rPr>
    </w:pPr>
    <w:r w:rsidRPr="00CC6913">
      <w:rPr>
        <w:rFonts w:ascii="Arial" w:hAnsi="Arial" w:cs="Arial"/>
        <w:sz w:val="18"/>
        <w:szCs w:val="18"/>
        <w:lang w:val="fr-FR"/>
      </w:rPr>
      <w:t>Ressources OMM pour les formateurs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91" w:rsidRDefault="000217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94F"/>
    <w:multiLevelType w:val="hybridMultilevel"/>
    <w:tmpl w:val="98208760"/>
    <w:lvl w:ilvl="0" w:tplc="3E9C5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64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4D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29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02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6C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A5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62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D6C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5183"/>
    <w:multiLevelType w:val="hybridMultilevel"/>
    <w:tmpl w:val="B8F62B3E"/>
    <w:lvl w:ilvl="0" w:tplc="53BA8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A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63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62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6C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63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22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26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D6A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B6A63"/>
    <w:multiLevelType w:val="hybridMultilevel"/>
    <w:tmpl w:val="56D6C376"/>
    <w:lvl w:ilvl="0" w:tplc="CB0641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38E8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BCCA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AC3E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0284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A6C0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CA4F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AE0F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04AC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DE549B"/>
    <w:multiLevelType w:val="hybridMultilevel"/>
    <w:tmpl w:val="26F629F0"/>
    <w:lvl w:ilvl="0" w:tplc="C6C2BBB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B218DC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3680B5C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A005DC6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E7FC412C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9B4C48DE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BC44083A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E94A5AE4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C828904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5D00087F"/>
    <w:multiLevelType w:val="hybridMultilevel"/>
    <w:tmpl w:val="5B08A0D2"/>
    <w:lvl w:ilvl="0" w:tplc="02688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89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06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C8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07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C6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88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AF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E47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E4C90"/>
    <w:multiLevelType w:val="hybridMultilevel"/>
    <w:tmpl w:val="CED2FB00"/>
    <w:lvl w:ilvl="0" w:tplc="3CC0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A6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4C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22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A6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00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E6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AC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8B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FB"/>
    <w:rsid w:val="00021791"/>
    <w:rsid w:val="001128FB"/>
    <w:rsid w:val="002F5C01"/>
    <w:rsid w:val="00A04820"/>
    <w:rsid w:val="00B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0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570C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D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74A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A1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067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67F1"/>
  </w:style>
  <w:style w:type="paragraph" w:styleId="Pieddepage">
    <w:name w:val="footer"/>
    <w:basedOn w:val="Normal"/>
    <w:link w:val="PieddepageCar"/>
    <w:uiPriority w:val="99"/>
    <w:unhideWhenUsed/>
    <w:rsid w:val="007067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67F1"/>
  </w:style>
  <w:style w:type="character" w:styleId="Numrodepage">
    <w:name w:val="page number"/>
    <w:basedOn w:val="Policepardfaut"/>
    <w:uiPriority w:val="99"/>
    <w:semiHidden/>
    <w:unhideWhenUsed/>
    <w:rsid w:val="00CC6913"/>
  </w:style>
  <w:style w:type="character" w:styleId="Lienhypertextesuivivisit">
    <w:name w:val="FollowedHyperlink"/>
    <w:basedOn w:val="Policepardfaut"/>
    <w:uiPriority w:val="99"/>
    <w:semiHidden/>
    <w:unhideWhenUsed/>
    <w:rsid w:val="006D7F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0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570C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D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74A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A1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067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67F1"/>
  </w:style>
  <w:style w:type="paragraph" w:styleId="Pieddepage">
    <w:name w:val="footer"/>
    <w:basedOn w:val="Normal"/>
    <w:link w:val="PieddepageCar"/>
    <w:uiPriority w:val="99"/>
    <w:unhideWhenUsed/>
    <w:rsid w:val="007067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67F1"/>
  </w:style>
  <w:style w:type="character" w:styleId="Numrodepage">
    <w:name w:val="page number"/>
    <w:basedOn w:val="Policepardfaut"/>
    <w:uiPriority w:val="99"/>
    <w:semiHidden/>
    <w:unhideWhenUsed/>
    <w:rsid w:val="00CC6913"/>
  </w:style>
  <w:style w:type="character" w:styleId="Lienhypertextesuivivisit">
    <w:name w:val="FollowedHyperlink"/>
    <w:basedOn w:val="Policepardfaut"/>
    <w:uiPriority w:val="99"/>
    <w:semiHidden/>
    <w:unhideWhenUsed/>
    <w:rsid w:val="006D7F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usinessballs.com/kirkpatricklearningevaluationmodel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irkpatrickpartners.com/OurPhilosophy/TheKirkpatrickModel/tabid/302/Default.aspx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WMO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Daniel Gondouin</cp:lastModifiedBy>
  <cp:revision>8</cp:revision>
  <cp:lastPrinted>2015-03-24T14:49:00Z</cp:lastPrinted>
  <dcterms:created xsi:type="dcterms:W3CDTF">2017-08-09T11:46:00Z</dcterms:created>
  <dcterms:modified xsi:type="dcterms:W3CDTF">2017-10-09T07:05:00Z</dcterms:modified>
</cp:coreProperties>
</file>