
<file path=[Content_Types].xml><?xml version="1.0" encoding="utf-8"?>
<Types xmlns="http://schemas.openxmlformats.org/package/2006/content-types">
  <Override PartName="/_rels/.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diagrams/drawing2.xml" ContentType="application/vnd.openxmlformats-officedocument.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media/image2.png" ContentType="image/png"/>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center"/>
        <w:rPr>
          <w:rFonts w:ascii="Arial" w:hAnsi="Arial" w:cs="Arial"/>
          <w:b/>
          <w:b/>
          <w:color w:val="00000A"/>
          <w:sz w:val="28"/>
        </w:rPr>
      </w:pPr>
      <w:r>
        <w:rPr>
          <w:rFonts w:cs="Arial" w:ascii="Arial" w:hAnsi="Arial"/>
          <w:b/>
          <w:color w:val="00000A"/>
          <w:sz w:val="28"/>
        </w:rPr>
      </w:r>
    </w:p>
    <w:p>
      <w:pPr>
        <w:pStyle w:val="Default"/>
        <w:jc w:val="center"/>
        <w:rPr>
          <w:rFonts w:ascii="Arial" w:hAnsi="Arial" w:cs="Arial"/>
          <w:b/>
          <w:b/>
          <w:color w:val="00000A"/>
          <w:sz w:val="28"/>
        </w:rPr>
      </w:pPr>
      <w:r>
        <w:rPr>
          <w:rFonts w:cs="Arial" w:ascii="Arial" w:hAnsi="Arial"/>
          <w:b/>
          <w:color w:val="00000A"/>
          <w:sz w:val="28"/>
        </w:rPr>
      </w:r>
    </w:p>
    <w:p>
      <w:pPr>
        <w:pStyle w:val="Default"/>
        <w:jc w:val="center"/>
        <w:rPr/>
      </w:pPr>
      <w:r>
        <w:rPr>
          <w:rFonts w:cs="Arial" w:ascii="Arial" w:hAnsi="Arial"/>
          <w:b/>
          <w:bCs/>
          <w:color w:val="00000A"/>
          <w:sz w:val="28"/>
          <w:lang w:val="fr-FR"/>
        </w:rPr>
        <w:t>Évalu</w:t>
      </w:r>
      <w:r>
        <w:rPr>
          <w:rFonts w:cs="Arial" w:ascii="Arial" w:hAnsi="Arial"/>
          <w:b/>
          <w:bCs/>
          <w:color w:val="00000A"/>
          <w:sz w:val="28"/>
          <w:lang w:val="fr-FR"/>
        </w:rPr>
        <w:t>er pour former</w:t>
      </w:r>
    </w:p>
    <w:p>
      <w:pPr>
        <w:pStyle w:val="Default"/>
        <w:ind w:firstLine="708"/>
        <w:jc w:val="center"/>
        <w:rPr>
          <w:rFonts w:ascii="Arial" w:hAnsi="Arial" w:cs="Arial"/>
        </w:rPr>
      </w:pPr>
      <w:r>
        <w:rPr>
          <w:rFonts w:cs="Arial" w:ascii="Arial" w:hAnsi="Arial"/>
        </w:rPr>
      </w:r>
    </w:p>
    <w:p>
      <w:pPr>
        <w:pStyle w:val="Default"/>
        <w:rPr>
          <w:rFonts w:ascii="Arial" w:hAnsi="Arial" w:cs="Arial"/>
        </w:rPr>
      </w:pPr>
      <w:r>
        <w:rPr>
          <w:rFonts w:cs="Arial" w:ascii="Arial" w:hAnsi="Arial"/>
        </w:rPr>
      </w:r>
    </w:p>
    <w:p>
      <w:pPr>
        <w:pStyle w:val="Default"/>
        <w:ind w:firstLine="708"/>
        <w:jc w:val="both"/>
        <w:rPr>
          <w:rFonts w:ascii="Arial" w:hAnsi="Arial" w:cs="Arial"/>
          <w:highlight w:val="lightGray"/>
        </w:rPr>
      </w:pPr>
      <w:r>
        <w:rPr>
          <w:rFonts w:cs="Arial" w:ascii="Arial" w:hAnsi="Arial"/>
          <w:highlight w:val="lightGray"/>
        </w:rPr>
      </w:r>
    </w:p>
    <w:p>
      <w:pPr>
        <w:pStyle w:val="Default"/>
        <w:ind w:firstLine="708"/>
        <w:jc w:val="both"/>
        <w:rPr>
          <w:rFonts w:ascii="Arial" w:hAnsi="Arial" w:cs="Arial"/>
        </w:rPr>
      </w:pPr>
      <w:r>
        <w:rPr>
          <w:rFonts w:cs="Arial" w:ascii="Arial" w:hAnsi="Arial"/>
          <w:lang w:val="fr-FR"/>
        </w:rPr>
        <w:t>L’évaluation est le processus de collecte d’information sur l’apprentissage de l’étudiant permettant de prendre des décisions éducationnelles. C’est une partie essentielle d’un système d’apprentissage.</w:t>
      </w:r>
    </w:p>
    <w:p>
      <w:pPr>
        <w:pStyle w:val="Default"/>
        <w:jc w:val="both"/>
        <w:rPr>
          <w:rFonts w:ascii="Arial" w:hAnsi="Arial" w:cs="Arial"/>
        </w:rPr>
      </w:pPr>
      <w:r>
        <w:rPr>
          <w:rFonts w:cs="Arial" w:ascii="Arial" w:hAnsi="Arial"/>
        </w:rPr>
      </w:r>
    </w:p>
    <w:p>
      <w:pPr>
        <w:pStyle w:val="Default"/>
        <w:ind w:firstLine="708"/>
        <w:jc w:val="both"/>
        <w:rPr/>
      </w:pPr>
      <w:r>
        <w:rPr>
          <w:rFonts w:cs="Arial" w:ascii="Arial" w:hAnsi="Arial"/>
          <w:lang w:val="fr-FR"/>
        </w:rPr>
        <w:t xml:space="preserve">L’évaluation est souvent considérée comme la partie la plus difficile du cycle de formation. Les principes des processus d’évaluation ne sont pas souvent enseignés. Nous partons souvent de l’idée que l’évaluation est stressante et oppressante. Pourtant, l’évaluation ne doit jamais être punitive, mais destinée à améliorer l’apprentissage grâce à une implication plus approfondie des étudiants. Les pratiques existantes d’évaluation formative (pendant le cours) et récapitulative (à la fin du cours) demandent souvent des améliorations, car </w:t>
      </w:r>
      <w:r>
        <w:rPr>
          <w:rFonts w:cs="Arial" w:ascii="Arial" w:hAnsi="Arial"/>
          <w:lang w:val="fr-FR"/>
        </w:rPr>
        <w:t>elles</w:t>
      </w:r>
      <w:r>
        <w:rPr>
          <w:rFonts w:cs="Arial" w:ascii="Arial" w:hAnsi="Arial"/>
          <w:lang w:val="fr-FR"/>
        </w:rPr>
        <w:t xml:space="preserve"> utilisent une approche ne demandant pas des traitements cognitifs approfondis, et peuvent ne pas être directement relié</w:t>
      </w:r>
      <w:r>
        <w:rPr>
          <w:rFonts w:cs="Arial" w:ascii="Arial" w:hAnsi="Arial"/>
          <w:lang w:val="fr-FR"/>
        </w:rPr>
        <w:t>e</w:t>
      </w:r>
      <w:r>
        <w:rPr>
          <w:rFonts w:cs="Arial" w:ascii="Arial" w:hAnsi="Arial"/>
          <w:lang w:val="fr-FR"/>
        </w:rPr>
        <w:t>s aux objectifs pédagogiques exprimés.</w:t>
      </w:r>
    </w:p>
    <w:p>
      <w:pPr>
        <w:pStyle w:val="Default"/>
        <w:ind w:firstLine="708"/>
        <w:jc w:val="both"/>
        <w:rPr>
          <w:rFonts w:ascii="Arial" w:hAnsi="Arial" w:cs="Arial"/>
        </w:rPr>
      </w:pPr>
      <w:r>
        <w:rPr>
          <w:rFonts w:cs="Arial" w:ascii="Arial" w:hAnsi="Arial"/>
        </w:rPr>
      </w:r>
    </w:p>
    <w:p>
      <w:pPr>
        <w:pStyle w:val="Default"/>
        <w:ind w:firstLine="708"/>
        <w:jc w:val="both"/>
        <w:rPr/>
      </w:pPr>
      <w:r>
        <w:rPr>
          <w:rFonts w:cs="Arial" w:ascii="Arial" w:hAnsi="Arial"/>
          <w:lang w:val="fr-FR"/>
        </w:rPr>
        <w:t xml:space="preserve">Un questionnaire d’auto-évaluation utilisé régulièrement dans le Cours pour les formateurs montre que </w:t>
      </w:r>
      <w:r>
        <w:rPr>
          <w:rFonts w:cs="Arial" w:ascii="Arial" w:hAnsi="Arial"/>
          <w:i/>
          <w:iCs/>
          <w:lang w:val="fr-FR"/>
        </w:rPr>
        <w:t>contrôler l’apprentissage et évaluer le processus de formation</w:t>
      </w:r>
      <w:r>
        <w:rPr>
          <w:rFonts w:cs="Arial" w:ascii="Arial" w:hAnsi="Arial"/>
          <w:lang w:val="fr-FR"/>
        </w:rPr>
        <w:t xml:space="preserve"> font partie des compétences les plus faible</w:t>
      </w:r>
      <w:r>
        <w:rPr>
          <w:rFonts w:cs="Arial" w:ascii="Arial" w:hAnsi="Arial"/>
          <w:lang w:val="fr-FR"/>
        </w:rPr>
        <w:t>ment auto-évaluées</w:t>
      </w:r>
      <w:r>
        <w:rPr>
          <w:rFonts w:cs="Arial" w:ascii="Arial" w:hAnsi="Arial"/>
          <w:lang w:val="fr-FR"/>
        </w:rPr>
        <w:t xml:space="preserve"> par les participants.</w:t>
      </w:r>
    </w:p>
    <w:p>
      <w:pPr>
        <w:pStyle w:val="Default"/>
        <w:ind w:firstLine="708"/>
        <w:jc w:val="both"/>
        <w:rPr>
          <w:rFonts w:ascii="Arial" w:hAnsi="Arial" w:cs="Arial"/>
        </w:rPr>
      </w:pPr>
      <w:r>
        <w:rPr>
          <w:rFonts w:cs="Arial" w:ascii="Arial" w:hAnsi="Arial"/>
        </w:rPr>
      </w:r>
    </w:p>
    <w:p>
      <w:pPr>
        <w:pStyle w:val="Default"/>
        <w:rPr>
          <w:sz w:val="22"/>
          <w:szCs w:val="22"/>
        </w:rPr>
      </w:pPr>
      <w:r>
        <w:rPr>
          <w:sz w:val="22"/>
          <w:szCs w:val="22"/>
        </w:rPr>
      </w:r>
    </w:p>
    <w:p>
      <w:pPr>
        <w:pStyle w:val="Default"/>
        <w:jc w:val="center"/>
        <w:rPr>
          <w:sz w:val="22"/>
          <w:szCs w:val="22"/>
        </w:rPr>
      </w:pPr>
      <w:r>
        <w:rPr/>
        <w:drawing>
          <wp:inline distT="0" distB="0" distL="0" distR="9525">
            <wp:extent cx="4467225" cy="350520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4467225" cy="3505200"/>
                    </a:xfrm>
                    <a:prstGeom prst="rect">
                      <a:avLst/>
                    </a:prstGeom>
                  </pic:spPr>
                </pic:pic>
              </a:graphicData>
            </a:graphic>
          </wp:inline>
        </w:drawing>
      </w:r>
    </w:p>
    <w:p>
      <w:pPr>
        <w:pStyle w:val="Default"/>
        <w:spacing w:before="240" w:after="200"/>
        <w:jc w:val="center"/>
        <w:rPr>
          <w:rFonts w:ascii="Arial" w:hAnsi="Arial" w:cs="Arial"/>
        </w:rPr>
      </w:pPr>
      <w:r>
        <w:rPr>
          <w:rFonts w:cs="Arial" w:ascii="Arial" w:hAnsi="Arial"/>
          <w:lang w:val="fr-FR"/>
        </w:rPr>
        <w:t>Résultats du questionnaire 2015</w:t>
      </w:r>
    </w:p>
    <w:p>
      <w:pPr>
        <w:pStyle w:val="Default"/>
        <w:rPr>
          <w:rFonts w:ascii="Arial" w:hAnsi="Arial" w:cs="Arial"/>
          <w:sz w:val="22"/>
          <w:szCs w:val="22"/>
        </w:rPr>
      </w:pPr>
      <w:r>
        <w:rPr>
          <w:rFonts w:cs="Arial" w:ascii="Arial" w:hAnsi="Arial"/>
          <w:sz w:val="22"/>
          <w:szCs w:val="22"/>
        </w:rPr>
      </w:r>
    </w:p>
    <w:p>
      <w:pPr>
        <w:pStyle w:val="Default"/>
        <w:ind w:firstLine="708"/>
        <w:jc w:val="both"/>
        <w:rPr>
          <w:rFonts w:ascii="Arial" w:hAnsi="Arial" w:cs="Arial"/>
        </w:rPr>
      </w:pPr>
      <w:r>
        <w:rPr>
          <w:rFonts w:cs="Arial" w:ascii="Arial" w:hAnsi="Arial"/>
        </w:rPr>
      </w:r>
    </w:p>
    <w:p>
      <w:pPr>
        <w:pStyle w:val="Default"/>
        <w:ind w:firstLine="708"/>
        <w:jc w:val="both"/>
        <w:rPr>
          <w:rFonts w:ascii="Arial" w:hAnsi="Arial" w:cs="Arial"/>
        </w:rPr>
      </w:pPr>
      <w:r>
        <w:rPr>
          <w:rFonts w:cs="Arial" w:ascii="Arial" w:hAnsi="Arial"/>
        </w:rPr>
      </w:r>
    </w:p>
    <w:p>
      <w:pPr>
        <w:pStyle w:val="Default"/>
        <w:ind w:firstLine="708"/>
        <w:jc w:val="both"/>
        <w:rPr>
          <w:rFonts w:ascii="Arial" w:hAnsi="Arial" w:cs="Arial"/>
        </w:rPr>
      </w:pPr>
      <w:r>
        <w:rPr>
          <w:rFonts w:cs="Arial" w:ascii="Arial" w:hAnsi="Arial"/>
        </w:rPr>
      </w:r>
    </w:p>
    <w:p>
      <w:pPr>
        <w:pStyle w:val="Default"/>
        <w:jc w:val="both"/>
        <w:rPr>
          <w:rFonts w:ascii="Arial" w:hAnsi="Arial" w:cs="Arial"/>
        </w:rPr>
      </w:pPr>
      <w:r>
        <w:rPr>
          <w:rFonts w:cs="Arial" w:ascii="Arial" w:hAnsi="Arial"/>
        </w:rPr>
      </w:r>
    </w:p>
    <w:p>
      <w:pPr>
        <w:pStyle w:val="Default"/>
        <w:ind w:firstLine="708"/>
        <w:jc w:val="both"/>
        <w:rPr>
          <w:rFonts w:ascii="Arial" w:hAnsi="Arial" w:cs="Arial"/>
        </w:rPr>
      </w:pPr>
      <w:r>
        <w:rPr>
          <w:rFonts w:cs="Arial" w:ascii="Arial" w:hAnsi="Arial"/>
        </w:rPr>
      </w:r>
    </w:p>
    <w:p>
      <w:pPr>
        <w:pStyle w:val="Default"/>
        <w:ind w:firstLine="708"/>
        <w:jc w:val="both"/>
        <w:rPr/>
      </w:pPr>
      <w:r>
        <w:rPr>
          <w:rFonts w:cs="Arial" w:ascii="Arial" w:hAnsi="Arial"/>
          <w:lang w:val="fr-FR"/>
        </w:rPr>
        <w:t>Hattie (2003) a identifié cinq dimensions essentielles pour d’excellents formateurs. Il suggère que les formateurs experts :</w:t>
      </w:r>
    </w:p>
    <w:p>
      <w:pPr>
        <w:pStyle w:val="Default"/>
        <w:ind w:firstLine="708"/>
        <w:jc w:val="both"/>
        <w:rPr>
          <w:rFonts w:ascii="Arial" w:hAnsi="Arial" w:cs="Arial"/>
        </w:rPr>
      </w:pPr>
      <w:r>
        <w:rPr>
          <w:rFonts w:cs="Arial" w:ascii="Arial" w:hAnsi="Arial"/>
        </w:rPr>
      </w:r>
    </w:p>
    <w:p>
      <w:pPr>
        <w:pStyle w:val="Default"/>
        <w:spacing w:before="0" w:after="38"/>
        <w:ind w:left="708" w:hanging="0"/>
        <w:rPr>
          <w:rFonts w:ascii="Arial" w:hAnsi="Arial" w:cs="Arial"/>
        </w:rPr>
      </w:pPr>
      <w:r>
        <w:rPr>
          <w:rFonts w:eastAsia="Arial" w:cs="Arial" w:ascii="Arial" w:hAnsi="Arial"/>
          <w:sz w:val="18"/>
          <w:szCs w:val="18"/>
          <w:lang w:val="fr-FR"/>
        </w:rPr>
        <w:t></w:t>
      </w:r>
      <w:r>
        <w:rPr>
          <w:rFonts w:cs="Arial" w:ascii="Arial" w:hAnsi="Arial"/>
          <w:lang w:val="fr-FR"/>
        </w:rPr>
        <w:t>peuvent identifier les représentations essentielles de leur sujet,</w:t>
      </w:r>
    </w:p>
    <w:p>
      <w:pPr>
        <w:pStyle w:val="Default"/>
        <w:spacing w:before="0" w:after="38"/>
        <w:ind w:left="708" w:hanging="0"/>
        <w:rPr>
          <w:rFonts w:ascii="Arial" w:hAnsi="Arial" w:cs="Arial"/>
        </w:rPr>
      </w:pPr>
      <w:r>
        <w:rPr>
          <w:rFonts w:eastAsia="Arial" w:cs="Arial" w:ascii="Arial" w:hAnsi="Arial"/>
          <w:sz w:val="18"/>
          <w:szCs w:val="18"/>
          <w:lang w:val="fr-FR"/>
        </w:rPr>
        <w:t></w:t>
      </w:r>
      <w:r>
        <w:rPr>
          <w:rFonts w:cs="Arial" w:ascii="Arial" w:hAnsi="Arial"/>
          <w:lang w:val="fr-FR"/>
        </w:rPr>
        <w:t>peuvent guider l’apprentissage grâce aux interactions en classe,</w:t>
      </w:r>
    </w:p>
    <w:p>
      <w:pPr>
        <w:pStyle w:val="Default"/>
        <w:spacing w:before="0" w:after="38"/>
        <w:ind w:left="708" w:hanging="0"/>
        <w:rPr>
          <w:rFonts w:ascii="Arial" w:hAnsi="Arial" w:cs="Arial"/>
          <w:b/>
          <w:b/>
        </w:rPr>
      </w:pPr>
      <w:r>
        <w:rPr>
          <w:rFonts w:eastAsia="Arial" w:cs="Arial" w:ascii="Arial" w:hAnsi="Arial"/>
          <w:sz w:val="18"/>
          <w:szCs w:val="18"/>
          <w:lang w:val="fr-FR"/>
        </w:rPr>
        <w:t></w:t>
      </w:r>
      <w:r>
        <w:rPr>
          <w:rFonts w:cs="Arial" w:ascii="Arial" w:hAnsi="Arial"/>
          <w:b/>
          <w:bCs/>
          <w:lang w:val="fr-FR"/>
        </w:rPr>
        <w:t>peuvent suivre l’apprentissage et fournir des retours</w:t>
      </w:r>
    </w:p>
    <w:p>
      <w:pPr>
        <w:pStyle w:val="Default"/>
        <w:spacing w:before="0" w:after="38"/>
        <w:ind w:left="708" w:hanging="0"/>
        <w:rPr>
          <w:rFonts w:ascii="Arial" w:hAnsi="Arial" w:cs="Arial"/>
        </w:rPr>
      </w:pPr>
      <w:r>
        <w:rPr>
          <w:rFonts w:eastAsia="Arial" w:cs="Arial" w:ascii="Arial" w:hAnsi="Arial"/>
          <w:sz w:val="18"/>
          <w:szCs w:val="18"/>
          <w:lang w:val="fr-FR"/>
        </w:rPr>
        <w:t></w:t>
      </w:r>
      <w:r>
        <w:rPr>
          <w:rFonts w:cs="Arial" w:ascii="Arial" w:hAnsi="Arial"/>
          <w:lang w:val="fr-FR"/>
        </w:rPr>
        <w:t>prennent en compte les aspects affectifs et</w:t>
      </w:r>
    </w:p>
    <w:p>
      <w:pPr>
        <w:pStyle w:val="Default"/>
        <w:ind w:left="708" w:hanging="0"/>
        <w:rPr/>
      </w:pPr>
      <w:r>
        <w:rPr>
          <w:rFonts w:eastAsia="Arial" w:cs="Arial" w:ascii="Arial" w:hAnsi="Arial"/>
          <w:sz w:val="18"/>
          <w:szCs w:val="18"/>
          <w:lang w:val="fr-FR"/>
        </w:rPr>
        <w:t></w:t>
      </w:r>
      <w:r>
        <w:rPr>
          <w:rFonts w:cs="Arial" w:ascii="Arial" w:hAnsi="Arial"/>
          <w:b/>
          <w:bCs/>
          <w:lang w:val="fr-FR"/>
        </w:rPr>
        <w:t>peuvent influencer les résultats des étudiants.</w:t>
      </w:r>
    </w:p>
    <w:p>
      <w:pPr>
        <w:pStyle w:val="Default"/>
        <w:rPr>
          <w:rFonts w:ascii="Arial" w:hAnsi="Arial" w:cs="Arial"/>
          <w:sz w:val="22"/>
          <w:szCs w:val="22"/>
        </w:rPr>
      </w:pPr>
      <w:r>
        <w:rPr>
          <w:rFonts w:cs="Arial" w:ascii="Arial" w:hAnsi="Arial"/>
          <w:sz w:val="22"/>
          <w:szCs w:val="22"/>
        </w:rPr>
      </w:r>
    </w:p>
    <w:p>
      <w:pPr>
        <w:pStyle w:val="Default"/>
        <w:ind w:firstLine="708"/>
        <w:jc w:val="both"/>
        <w:rPr>
          <w:rFonts w:ascii="Arial" w:hAnsi="Arial" w:cs="Arial"/>
        </w:rPr>
      </w:pPr>
      <w:r>
        <w:rPr>
          <w:rFonts w:cs="Arial" w:ascii="Arial" w:hAnsi="Arial"/>
          <w:lang w:val="fr-FR"/>
        </w:rPr>
        <w:t>Un enseignement efficace n’implique pas uniquement de fournir des tâches, un environnement et des informations constructives sur le sujet, mais demande également de contrôler et d’évaluer la compréhension de ces informations par les étudiants, de telle sorte que l’acte d’enseignement suivant puisse être adapté à la compréhension des étudiants (Hattie and Timperley, 2007).</w:t>
      </w:r>
    </w:p>
    <w:p>
      <w:pPr>
        <w:pStyle w:val="Default"/>
        <w:ind w:firstLine="708"/>
        <w:jc w:val="both"/>
        <w:rPr>
          <w:rFonts w:ascii="Arial" w:hAnsi="Arial" w:cs="Arial"/>
        </w:rPr>
      </w:pPr>
      <w:r>
        <w:rPr>
          <w:rFonts w:cs="Arial" w:ascii="Arial" w:hAnsi="Arial"/>
        </w:rPr>
      </w:r>
    </w:p>
    <w:p>
      <w:pPr>
        <w:pStyle w:val="Normal"/>
        <w:spacing w:lineRule="auto" w:line="240" w:before="0" w:after="0"/>
        <w:jc w:val="center"/>
        <w:rPr>
          <w:rFonts w:ascii="Arial" w:hAnsi="Arial" w:cs="Arial"/>
          <w:sz w:val="24"/>
          <w:szCs w:val="24"/>
        </w:rPr>
      </w:pPr>
      <w:r>
        <w:rPr>
          <w:rFonts w:cs="Arial" w:ascii="Arial" w:hAnsi="Arial"/>
          <w:b/>
          <w:bCs/>
          <w:iCs/>
          <w:sz w:val="24"/>
          <w:szCs w:val="24"/>
          <w:lang w:val="fr-FR"/>
        </w:rPr>
        <w:t xml:space="preserve">« Les étudiants peuvent survivre (avec difficulté) à un enseignement médiocre, </w:t>
      </w:r>
      <w:r>
        <w:rPr>
          <w:rFonts w:cs="Arial" w:ascii="Arial" w:hAnsi="Arial"/>
          <w:b/>
          <w:bCs/>
          <w:sz w:val="24"/>
          <w:szCs w:val="24"/>
          <w:lang w:val="fr-FR"/>
        </w:rPr>
        <w:t>mais ils ne peuvent pas échapper aux effets d’une mauvaise évaluation »</w:t>
      </w:r>
      <w:r>
        <w:rPr>
          <w:rFonts w:cs="Arial" w:ascii="Arial" w:hAnsi="Arial"/>
          <w:b/>
          <w:bCs/>
          <w:sz w:val="24"/>
          <w:szCs w:val="24"/>
          <w:lang w:val="fr-FR"/>
        </w:rPr>
        <w:t xml:space="preserve"> </w:t>
      </w:r>
      <w:r>
        <w:rPr>
          <w:rFonts w:cs="Arial" w:ascii="Arial" w:hAnsi="Arial"/>
          <w:sz w:val="24"/>
          <w:szCs w:val="24"/>
          <w:lang w:val="fr-FR"/>
        </w:rPr>
        <w:t>(Boud, 1995)</w:t>
      </w:r>
    </w:p>
    <w:p>
      <w:pPr>
        <w:pStyle w:val="Normal"/>
        <w:spacing w:lineRule="auto" w:line="240" w:before="0" w:after="0"/>
        <w:jc w:val="center"/>
        <w:rPr>
          <w:rFonts w:ascii="Arial" w:hAnsi="Arial" w:cs="Arial"/>
          <w:b/>
          <w:b/>
          <w:color w:val="FF0000"/>
          <w:sz w:val="24"/>
          <w:szCs w:val="24"/>
        </w:rPr>
      </w:pPr>
      <w:r>
        <w:rPr>
          <w:rFonts w:cs="Arial" w:ascii="Arial" w:hAnsi="Arial"/>
          <w:b/>
          <w:color w:val="FF0000"/>
          <w:sz w:val="24"/>
          <w:szCs w:val="24"/>
        </w:rPr>
      </w:r>
    </w:p>
    <w:p>
      <w:pPr>
        <w:pStyle w:val="Default"/>
        <w:ind w:firstLine="708"/>
        <w:jc w:val="both"/>
        <w:rPr>
          <w:rFonts w:ascii="Arial" w:hAnsi="Arial" w:cs="Arial"/>
        </w:rPr>
      </w:pPr>
      <w:r>
        <w:rPr>
          <w:rFonts w:cs="Arial" w:ascii="Arial" w:hAnsi="Arial"/>
          <w:lang w:val="fr-FR"/>
        </w:rPr>
        <w:t xml:space="preserve">Les objectifs de l’évaluation doivent être déterminés dès le départ, et alignés avec les résultats d’apprentissage demandés. L’évaluation doit être une partie essentielle de la conception du programme. Les étudiants doivent recevoir un guide d’évaluation dès le tout début </w:t>
      </w:r>
      <w:r>
        <w:rPr>
          <w:rFonts w:cs="Arial" w:ascii="Arial" w:hAnsi="Arial"/>
          <w:lang w:val="fr-FR"/>
        </w:rPr>
        <w:t>du cours</w:t>
      </w:r>
      <w:r>
        <w:rPr>
          <w:rFonts w:cs="Arial" w:ascii="Arial" w:hAnsi="Arial"/>
          <w:lang w:val="fr-FR"/>
        </w:rPr>
        <w:t>. Le processus d’évaluation ne doit pas évoluer en cours de formation, sinon cela peut être néfaste à son déroulement et à ses résultats</w:t>
      </w:r>
    </w:p>
    <w:p>
      <w:pPr>
        <w:pStyle w:val="Default"/>
        <w:ind w:firstLine="708"/>
        <w:jc w:val="both"/>
        <w:rPr>
          <w:rFonts w:ascii="Arial" w:hAnsi="Arial" w:cs="Arial"/>
        </w:rPr>
      </w:pPr>
      <w:r>
        <w:rPr>
          <w:rFonts w:cs="Arial" w:ascii="Arial" w:hAnsi="Arial"/>
        </w:rPr>
      </w:r>
    </w:p>
    <w:p>
      <w:pPr>
        <w:pStyle w:val="Default"/>
        <w:rPr>
          <w:rFonts w:ascii="Arial" w:hAnsi="Arial" w:cs="Arial"/>
          <w:b/>
          <w:b/>
          <w:bCs/>
        </w:rPr>
      </w:pPr>
      <w:r>
        <w:rPr>
          <w:rFonts w:cs="Arial" w:ascii="Arial" w:hAnsi="Arial"/>
          <w:b/>
          <w:bCs/>
        </w:rPr>
      </w:r>
    </w:p>
    <w:p>
      <w:pPr>
        <w:pStyle w:val="Default"/>
        <w:rPr>
          <w:rFonts w:ascii="Arial" w:hAnsi="Arial" w:cs="Arial"/>
          <w:b/>
          <w:b/>
          <w:bCs/>
        </w:rPr>
      </w:pPr>
      <w:r>
        <w:rPr>
          <w:rFonts w:cs="Arial" w:ascii="Arial" w:hAnsi="Arial"/>
          <w:b/>
          <w:bCs/>
          <w:lang w:val="fr-FR"/>
        </w:rPr>
        <w:t>Les performances ont évolué au cours du temps !</w:t>
      </w:r>
    </w:p>
    <w:p>
      <w:pPr>
        <w:pStyle w:val="Default"/>
        <w:jc w:val="center"/>
        <w:rPr>
          <w:rFonts w:ascii="Arial" w:hAnsi="Arial" w:cs="Arial"/>
        </w:rPr>
      </w:pPr>
      <w:r>
        <w:rPr>
          <w:rFonts w:cs="Arial" w:ascii="Arial" w:hAnsi="Arial"/>
        </w:rPr>
      </w:r>
    </w:p>
    <w:p>
      <w:pPr>
        <w:pStyle w:val="Default"/>
        <w:numPr>
          <w:ilvl w:val="0"/>
          <w:numId w:val="2"/>
        </w:numPr>
        <w:ind w:left="709" w:hanging="0"/>
        <w:jc w:val="both"/>
        <w:rPr>
          <w:rFonts w:ascii="Arial" w:hAnsi="Arial" w:cs="Arial"/>
        </w:rPr>
      </w:pPr>
      <w:r>
        <w:rPr>
          <w:rFonts w:cs="Arial" w:ascii="Arial" w:hAnsi="Arial"/>
          <w:lang w:val="fr-FR"/>
        </w:rPr>
        <w:t>Aujourd’hui, une aptitude clé est la capacité à trouver et appliquer des connaissances de manière rapide et efficace. Les « réponses » sont déjà disponibles avec les nouvelles technologies, nous n’avons plus besoin de longues heures de recherche</w:t>
      </w:r>
      <w:r>
        <w:rPr>
          <w:rFonts w:cs="Arial" w:ascii="Arial" w:hAnsi="Arial"/>
          <w:sz w:val="22"/>
          <w:szCs w:val="22"/>
          <w:lang w:val="fr-FR"/>
        </w:rPr>
        <w:t>.</w:t>
      </w:r>
    </w:p>
    <w:p>
      <w:pPr>
        <w:pStyle w:val="Default"/>
        <w:numPr>
          <w:ilvl w:val="0"/>
          <w:numId w:val="2"/>
        </w:numPr>
        <w:ind w:left="1440" w:hanging="731"/>
        <w:jc w:val="both"/>
        <w:rPr>
          <w:rFonts w:ascii="Arial" w:hAnsi="Arial" w:cs="Arial"/>
        </w:rPr>
      </w:pPr>
      <w:r>
        <w:rPr>
          <w:rFonts w:cs="Arial" w:ascii="Arial" w:hAnsi="Arial"/>
          <w:lang w:val="fr-FR"/>
        </w:rPr>
        <w:t>On attend des étudiants qu’ils communiquent leurs idées de manière efficace, pas uniquement qu’ils réussissent des tests.</w:t>
      </w:r>
    </w:p>
    <w:p>
      <w:pPr>
        <w:pStyle w:val="Default"/>
        <w:numPr>
          <w:ilvl w:val="0"/>
          <w:numId w:val="2"/>
        </w:numPr>
        <w:ind w:left="1440" w:hanging="731"/>
        <w:jc w:val="both"/>
        <w:rPr>
          <w:rFonts w:ascii="Arial" w:hAnsi="Arial" w:cs="Arial"/>
        </w:rPr>
      </w:pPr>
      <w:r>
        <w:rPr>
          <w:rFonts w:cs="Arial" w:ascii="Arial" w:hAnsi="Arial"/>
          <w:lang w:val="fr-FR"/>
        </w:rPr>
        <w:t>Nous sommes à l’âge de l’information, et non des tâches machinales.</w:t>
      </w:r>
    </w:p>
    <w:p>
      <w:pPr>
        <w:pStyle w:val="Default"/>
        <w:numPr>
          <w:ilvl w:val="0"/>
          <w:numId w:val="2"/>
        </w:numPr>
        <w:ind w:left="1440" w:hanging="731"/>
        <w:jc w:val="both"/>
        <w:rPr>
          <w:rFonts w:ascii="Arial" w:hAnsi="Arial" w:cs="Arial"/>
          <w:sz w:val="22"/>
          <w:szCs w:val="22"/>
        </w:rPr>
      </w:pPr>
      <w:r>
        <w:rPr>
          <w:rFonts w:cs="Arial" w:ascii="Arial" w:hAnsi="Arial"/>
          <w:lang w:val="fr-FR"/>
        </w:rPr>
        <w:t>Il n’y a plus de source d’informations unique (même l’enseignant)</w:t>
      </w:r>
    </w:p>
    <w:p>
      <w:pPr>
        <w:pStyle w:val="Default"/>
        <w:jc w:val="both"/>
        <w:rPr>
          <w:rFonts w:ascii="Arial" w:hAnsi="Arial" w:cs="Arial"/>
        </w:rPr>
      </w:pPr>
      <w:r>
        <w:rPr>
          <w:rFonts w:cs="Arial" w:ascii="Arial" w:hAnsi="Arial"/>
        </w:rPr>
      </w:r>
    </w:p>
    <w:p>
      <w:pPr>
        <w:pStyle w:val="Default"/>
        <w:ind w:firstLine="708"/>
        <w:jc w:val="both"/>
        <w:rPr>
          <w:rFonts w:ascii="Arial" w:hAnsi="Arial" w:cs="Arial"/>
        </w:rPr>
      </w:pPr>
      <w:r>
        <w:rPr>
          <w:rFonts w:cs="Arial" w:ascii="Arial" w:hAnsi="Arial"/>
          <w:lang w:val="fr-FR"/>
        </w:rPr>
        <w:t>Est-ce que les évaluations restent en phase avec ces nouvelles conditions de performance ? Le choix de l’évaluation doit prendre en compte les objectifs pédagogiques et ce que vous désirez évaluer. Demandez-vous toujours : « Est-ce la méthode la plus appropriée pour une mesure valide des objectifs pédagogiques ? »</w:t>
      </w:r>
    </w:p>
    <w:p>
      <w:pPr>
        <w:pStyle w:val="Default"/>
        <w:jc w:val="both"/>
        <w:rPr>
          <w:rFonts w:ascii="Arial" w:hAnsi="Arial" w:cs="Arial"/>
          <w:sz w:val="22"/>
          <w:szCs w:val="22"/>
        </w:rPr>
      </w:pPr>
      <w:r>
        <w:rPr>
          <w:rFonts w:cs="Arial" w:ascii="Arial" w:hAnsi="Arial"/>
          <w:sz w:val="22"/>
          <w:szCs w:val="22"/>
        </w:rPr>
      </w:r>
    </w:p>
    <w:p>
      <w:pPr>
        <w:pStyle w:val="Default"/>
        <w:jc w:val="both"/>
        <w:rPr>
          <w:rFonts w:ascii="Arial" w:hAnsi="Arial" w:cs="Arial"/>
          <w:sz w:val="22"/>
          <w:szCs w:val="22"/>
        </w:rPr>
      </w:pPr>
      <w:r>
        <w:rPr>
          <w:rFonts w:cs="Arial" w:ascii="Arial" w:hAnsi="Arial"/>
          <w:sz w:val="22"/>
          <w:szCs w:val="22"/>
        </w:rPr>
      </w:r>
    </w:p>
    <w:p>
      <w:pPr>
        <w:pStyle w:val="Default"/>
        <w:jc w:val="both"/>
        <w:rPr>
          <w:rFonts w:ascii="Arial" w:hAnsi="Arial" w:cs="Arial"/>
          <w:sz w:val="22"/>
          <w:szCs w:val="22"/>
        </w:rPr>
      </w:pPr>
      <w:r>
        <w:rPr>
          <w:rFonts w:cs="Arial" w:ascii="Arial" w:hAnsi="Arial"/>
          <w:sz w:val="22"/>
          <w:szCs w:val="22"/>
        </w:rPr>
      </w:r>
    </w:p>
    <w:p>
      <w:pPr>
        <w:pStyle w:val="Default"/>
        <w:jc w:val="both"/>
        <w:rPr>
          <w:rFonts w:ascii="Arial" w:hAnsi="Arial" w:cs="Arial"/>
          <w:sz w:val="22"/>
          <w:szCs w:val="22"/>
        </w:rPr>
      </w:pPr>
      <w:r>
        <w:rPr>
          <w:rFonts w:cs="Arial" w:ascii="Arial" w:hAnsi="Arial"/>
          <w:sz w:val="22"/>
          <w:szCs w:val="22"/>
        </w:rPr>
      </w:r>
    </w:p>
    <w:p>
      <w:pPr>
        <w:pStyle w:val="Default"/>
        <w:jc w:val="both"/>
        <w:rPr>
          <w:rFonts w:ascii="Arial" w:hAnsi="Arial" w:cs="Arial"/>
          <w:sz w:val="22"/>
          <w:szCs w:val="22"/>
        </w:rPr>
      </w:pPr>
      <w:r>
        <w:rPr>
          <w:rFonts w:cs="Arial" w:ascii="Arial" w:hAnsi="Arial"/>
          <w:sz w:val="22"/>
          <w:szCs w:val="22"/>
        </w:rPr>
      </w:r>
    </w:p>
    <w:p>
      <w:pPr>
        <w:pStyle w:val="Default"/>
        <w:jc w:val="both"/>
        <w:rPr>
          <w:rFonts w:ascii="Arial" w:hAnsi="Arial" w:cs="Arial"/>
          <w:sz w:val="22"/>
          <w:szCs w:val="22"/>
        </w:rPr>
      </w:pPr>
      <w:r>
        <w:rPr>
          <w:rFonts w:cs="Arial" w:ascii="Arial" w:hAnsi="Arial"/>
          <w:sz w:val="22"/>
          <w:szCs w:val="22"/>
        </w:rPr>
      </w:r>
    </w:p>
    <w:p>
      <w:pPr>
        <w:pStyle w:val="Default"/>
        <w:jc w:val="both"/>
        <w:rPr>
          <w:rFonts w:ascii="Arial" w:hAnsi="Arial" w:cs="Arial"/>
          <w:sz w:val="22"/>
          <w:szCs w:val="22"/>
        </w:rPr>
      </w:pPr>
      <w:r>
        <w:rPr>
          <w:rFonts w:cs="Arial" w:ascii="Arial" w:hAnsi="Arial"/>
          <w:sz w:val="22"/>
          <w:szCs w:val="22"/>
        </w:rPr>
      </w:r>
    </w:p>
    <w:p>
      <w:pPr>
        <w:pStyle w:val="Default"/>
        <w:jc w:val="both"/>
        <w:rPr>
          <w:rFonts w:ascii="Arial" w:hAnsi="Arial" w:cs="Arial"/>
          <w:sz w:val="22"/>
          <w:szCs w:val="22"/>
        </w:rPr>
      </w:pPr>
      <w:r>
        <w:rPr>
          <w:rFonts w:cs="Arial" w:ascii="Arial" w:hAnsi="Arial"/>
          <w:sz w:val="22"/>
          <w:szCs w:val="22"/>
        </w:rPr>
      </w:r>
    </w:p>
    <w:p>
      <w:pPr>
        <w:pStyle w:val="Default"/>
        <w:jc w:val="both"/>
        <w:rPr>
          <w:rFonts w:ascii="Arial" w:hAnsi="Arial" w:cs="Arial"/>
          <w:sz w:val="22"/>
          <w:szCs w:val="22"/>
        </w:rPr>
      </w:pPr>
      <w:r>
        <w:rPr>
          <w:rFonts w:cs="Arial" w:ascii="Arial" w:hAnsi="Arial"/>
          <w:sz w:val="22"/>
          <w:szCs w:val="22"/>
        </w:rPr>
      </w:r>
    </w:p>
    <w:p>
      <w:pPr>
        <w:pStyle w:val="Default"/>
        <w:ind w:firstLine="708"/>
        <w:jc w:val="center"/>
        <w:rPr>
          <w:rFonts w:ascii="Arial" w:hAnsi="Arial" w:cs="Arial"/>
        </w:rPr>
      </w:pPr>
      <w:r>
        <w:rPr>
          <w:rFonts w:cs="Arial" w:ascii="Arial" w:hAnsi="Arial"/>
        </w:rPr>
      </w:r>
    </w:p>
    <w:p>
      <w:pPr>
        <w:pStyle w:val="Default"/>
        <w:jc w:val="both"/>
        <w:rPr>
          <w:rFonts w:ascii="Arial" w:hAnsi="Arial" w:cs="Arial"/>
          <w:b/>
          <w:b/>
          <w:bCs/>
        </w:rPr>
      </w:pPr>
      <w:r>
        <w:rPr>
          <w:rFonts w:cs="Arial" w:ascii="Arial" w:hAnsi="Arial"/>
          <w:b/>
          <w:bCs/>
          <w:lang w:val="fr-FR"/>
        </w:rPr>
        <w:t>Principes d’évaluation</w:t>
      </w:r>
    </w:p>
    <w:p>
      <w:pPr>
        <w:pStyle w:val="Default"/>
        <w:ind w:firstLine="708"/>
        <w:jc w:val="both"/>
        <w:rPr>
          <w:rFonts w:ascii="Arial" w:hAnsi="Arial" w:cs="Arial"/>
        </w:rPr>
      </w:pPr>
      <w:r>
        <w:rPr>
          <w:rFonts w:cs="Arial" w:ascii="Arial" w:hAnsi="Arial"/>
        </w:rPr>
      </w:r>
    </w:p>
    <w:p>
      <w:pPr>
        <w:pStyle w:val="Default"/>
        <w:ind w:firstLine="708"/>
        <w:jc w:val="both"/>
        <w:rPr/>
      </w:pPr>
      <w:r>
        <w:rPr>
          <w:rFonts w:cs="Arial" w:ascii="Arial" w:hAnsi="Arial"/>
          <w:lang w:val="fr-FR"/>
        </w:rPr>
        <w:t>L’Université de Griffith propose 8 principes d’évaluation sur leur site « L’évaluation est essentielle</w:t>
      </w:r>
      <w:r>
        <w:rPr>
          <w:rFonts w:cs="Arial" w:ascii="Arial" w:hAnsi="Arial"/>
          <w:lang w:val="fr-FR"/>
        </w:rPr>
        <w:t> </w:t>
      </w:r>
      <w:r>
        <w:rPr>
          <w:rFonts w:cs="Arial" w:ascii="Arial" w:hAnsi="Arial"/>
          <w:lang w:val="fr-FR"/>
        </w:rPr>
        <w:t>» à l’adresse :</w:t>
      </w:r>
    </w:p>
    <w:p>
      <w:pPr>
        <w:pStyle w:val="Default"/>
        <w:ind w:firstLine="708"/>
        <w:jc w:val="both"/>
        <w:rPr/>
      </w:pPr>
      <w:r>
        <w:rPr>
          <w:rFonts w:cs="Arial" w:ascii="Arial" w:hAnsi="Arial"/>
          <w:lang w:val="fr-FR"/>
        </w:rPr>
        <w:t xml:space="preserve"> </w:t>
      </w:r>
      <w:hyperlink r:id="rId3">
        <w:r>
          <w:rPr>
            <w:rStyle w:val="LienInternet"/>
            <w:rFonts w:cs="Arial" w:ascii="Arial" w:hAnsi="Arial"/>
            <w:lang w:val="fr-FR"/>
          </w:rPr>
          <w:t>http://app.griffith.edu.au/assessment-matters//docs/design-assessment/principles</w:t>
        </w:r>
      </w:hyperlink>
    </w:p>
    <w:p>
      <w:pPr>
        <w:pStyle w:val="Default"/>
        <w:ind w:firstLine="708"/>
        <w:jc w:val="both"/>
        <w:rPr>
          <w:rFonts w:ascii="Arial" w:hAnsi="Arial" w:cs="Arial"/>
        </w:rPr>
      </w:pPr>
      <w:r>
        <w:rPr>
          <w:rFonts w:cs="Arial" w:ascii="Arial" w:hAnsi="Arial"/>
        </w:rPr>
      </w:r>
    </w:p>
    <w:p>
      <w:pPr>
        <w:pStyle w:val="Default"/>
        <w:ind w:firstLine="708"/>
        <w:jc w:val="both"/>
        <w:rPr>
          <w:rFonts w:ascii="Arial" w:hAnsi="Arial" w:cs="Arial"/>
        </w:rPr>
      </w:pPr>
      <w:r>
        <w:rPr>
          <w:rFonts w:cs="Arial" w:ascii="Arial" w:hAnsi="Arial"/>
        </w:rPr>
      </w:r>
    </w:p>
    <w:p>
      <w:pPr>
        <w:pStyle w:val="Default"/>
        <w:jc w:val="center"/>
        <w:rPr>
          <w:rFonts w:ascii="Arial" w:hAnsi="Arial" w:cs="Arial"/>
        </w:rPr>
      </w:pPr>
      <w:bookmarkStart w:id="0" w:name="_GoBack"/>
      <w:bookmarkEnd w:id="0"/>
      <w:r>
        <w:rPr/>
        <w:drawing>
          <wp:inline distT="0" distB="0" distL="0" distR="0">
            <wp:extent cx="5894070" cy="3776980"/>
            <wp:effectExtent l="0" t="0" r="0" b="0"/>
            <wp:docPr id="2" name="Diagram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pPr>
        <w:pStyle w:val="Default"/>
        <w:jc w:val="both"/>
        <w:rPr>
          <w:rFonts w:ascii="Arial" w:hAnsi="Arial" w:cs="Arial"/>
        </w:rPr>
      </w:pPr>
      <w:r>
        <w:rPr>
          <w:rFonts w:cs="Arial" w:ascii="Arial" w:hAnsi="Arial"/>
        </w:rPr>
      </w:r>
    </w:p>
    <w:p>
      <w:pPr>
        <w:pStyle w:val="Default"/>
        <w:jc w:val="both"/>
        <w:rPr>
          <w:rFonts w:ascii="Arial" w:hAnsi="Arial" w:cs="Arial"/>
        </w:rPr>
      </w:pPr>
      <w:r>
        <w:rPr>
          <w:rFonts w:cs="Arial" w:ascii="Arial" w:hAnsi="Arial"/>
        </w:rPr>
      </w:r>
    </w:p>
    <w:p>
      <w:pPr>
        <w:pStyle w:val="Default"/>
        <w:jc w:val="both"/>
        <w:rPr>
          <w:rFonts w:ascii="Arial" w:hAnsi="Arial" w:cs="Arial"/>
        </w:rPr>
      </w:pPr>
      <w:r>
        <w:rPr>
          <w:rFonts w:cs="Arial" w:ascii="Arial" w:hAnsi="Arial"/>
          <w:lang w:val="fr-FR"/>
        </w:rPr>
        <w:t>En d’autres termes, l’évaluation doit fournir des chances égales de succès (équitable), doit concerner les objectifs pédagogiques (appropriée), démontrer l’atteinte des objectifs (valide), être cohérente (fiable), compréhensible par les apprenants (transparente), judicieuse pour le monde du travail (authentique), de périmètre adapté (gérable), et donner aux apprenants l’envie d’y consacrer du temps (attirante).</w:t>
      </w:r>
    </w:p>
    <w:p>
      <w:pPr>
        <w:pStyle w:val="Default"/>
        <w:ind w:firstLine="708"/>
        <w:jc w:val="both"/>
        <w:rPr>
          <w:rFonts w:ascii="Arial" w:hAnsi="Arial" w:cs="Arial"/>
        </w:rPr>
      </w:pPr>
      <w:r>
        <w:rPr>
          <w:rFonts w:cs="Arial" w:ascii="Arial" w:hAnsi="Arial"/>
        </w:rPr>
      </w:r>
    </w:p>
    <w:p>
      <w:pPr>
        <w:pStyle w:val="Default"/>
        <w:jc w:val="both"/>
        <w:rPr>
          <w:rFonts w:ascii="Arial" w:hAnsi="Arial" w:cs="Arial"/>
          <w:b/>
          <w:b/>
          <w:bCs/>
        </w:rPr>
      </w:pPr>
      <w:r>
        <w:rPr>
          <w:rFonts w:cs="Arial" w:ascii="Arial" w:hAnsi="Arial"/>
          <w:b/>
          <w:bCs/>
          <w:lang w:val="fr-FR"/>
        </w:rPr>
        <w:t>Évaluation formative et retours</w:t>
      </w:r>
    </w:p>
    <w:p>
      <w:pPr>
        <w:pStyle w:val="Default"/>
        <w:jc w:val="both"/>
        <w:rPr>
          <w:rFonts w:ascii="Arial" w:hAnsi="Arial" w:cs="Arial"/>
        </w:rPr>
      </w:pPr>
      <w:r>
        <w:rPr>
          <w:rFonts w:cs="Arial" w:ascii="Arial" w:hAnsi="Arial"/>
        </w:rPr>
      </w:r>
    </w:p>
    <w:p>
      <w:pPr>
        <w:pStyle w:val="Default"/>
        <w:ind w:firstLine="708"/>
        <w:jc w:val="both"/>
        <w:rPr>
          <w:rFonts w:ascii="Arial" w:hAnsi="Arial" w:cs="Arial"/>
          <w:sz w:val="22"/>
          <w:szCs w:val="22"/>
        </w:rPr>
      </w:pPr>
      <w:r>
        <w:rPr>
          <w:rFonts w:cs="Arial" w:ascii="Arial" w:hAnsi="Arial"/>
          <w:lang w:val="fr-FR"/>
        </w:rPr>
        <w:t xml:space="preserve">Aujourd’hui, l’utilisation et les objectifs de l’évaluation se concentrent sur l’idée que </w:t>
      </w:r>
      <w:r>
        <w:rPr>
          <w:rFonts w:cs="Arial" w:ascii="Arial" w:hAnsi="Arial"/>
          <w:b/>
          <w:bCs/>
          <w:lang w:val="fr-FR"/>
        </w:rPr>
        <w:t xml:space="preserve">l’évaluation doit contribuer à améliorer l’apprentissage des étudiants </w:t>
      </w:r>
      <w:r>
        <w:rPr>
          <w:rFonts w:cs="Arial" w:ascii="Arial" w:hAnsi="Arial"/>
          <w:lang w:val="fr-FR"/>
        </w:rPr>
        <w:t xml:space="preserve">(par la pratique) </w:t>
      </w:r>
      <w:r>
        <w:rPr>
          <w:rFonts w:cs="Arial" w:ascii="Arial" w:hAnsi="Arial"/>
          <w:b/>
          <w:bCs/>
          <w:lang w:val="fr-FR"/>
        </w:rPr>
        <w:t xml:space="preserve">et l’enseignement </w:t>
      </w:r>
      <w:r>
        <w:rPr>
          <w:rFonts w:cs="Arial" w:ascii="Arial" w:hAnsi="Arial"/>
          <w:lang w:val="fr-FR"/>
        </w:rPr>
        <w:t>(grâce aux retours) (Newton, 2007). L’évaluation formative (pendant le cours) est un outil efficace pour atteindre ces deux objectifs. L’évaluation formative est au centre des recherches récentes, et il a été constaté que les évaluations sommatives avaient atteint un point de diminution des retours en tant qu’outil pour améliorer les résultats des étudiants (Handbook of Formative Assessment, 2010).</w:t>
      </w:r>
    </w:p>
    <w:p>
      <w:pPr>
        <w:pStyle w:val="Default"/>
        <w:rPr>
          <w:rFonts w:ascii="Arial" w:hAnsi="Arial" w:cs="Arial"/>
        </w:rPr>
      </w:pPr>
      <w:r>
        <w:rPr>
          <w:rFonts w:cs="Arial" w:ascii="Arial" w:hAnsi="Arial"/>
        </w:rPr>
      </w:r>
    </w:p>
    <w:p>
      <w:pPr>
        <w:pStyle w:val="Default"/>
        <w:rPr/>
      </w:pPr>
      <w:r>
        <w:rPr>
          <w:rFonts w:cs="Arial" w:ascii="Arial" w:hAnsi="Arial"/>
          <w:lang w:val="fr-FR"/>
        </w:rPr>
        <w:t>Ainsi, l’attention se recentre de l’évaluation de</w:t>
      </w:r>
      <w:r>
        <w:rPr>
          <w:rFonts w:cs="Arial" w:ascii="Arial" w:hAnsi="Arial"/>
          <w:lang w:val="fr-FR"/>
        </w:rPr>
        <w:t>s acquis de</w:t>
      </w:r>
      <w:r>
        <w:rPr>
          <w:rFonts w:cs="Arial" w:ascii="Arial" w:hAnsi="Arial"/>
          <w:lang w:val="fr-FR"/>
        </w:rPr>
        <w:t xml:space="preserve"> l’apprentissage </w:t>
      </w:r>
      <w:r>
        <w:rPr>
          <w:rFonts w:cs="Arial" w:ascii="Arial" w:hAnsi="Arial"/>
          <w:lang w:val="fr-FR"/>
        </w:rPr>
        <w:t>vers</w:t>
      </w:r>
      <w:r>
        <w:rPr>
          <w:rFonts w:cs="Arial" w:ascii="Arial" w:hAnsi="Arial"/>
          <w:lang w:val="fr-FR"/>
        </w:rPr>
        <w:t xml:space="preserve"> l’évaluation </w:t>
      </w:r>
      <w:r>
        <w:rPr>
          <w:rFonts w:cs="Arial" w:ascii="Arial" w:hAnsi="Arial"/>
          <w:b/>
          <w:bCs/>
          <w:lang w:val="fr-FR"/>
        </w:rPr>
        <w:t xml:space="preserve">pour </w:t>
      </w:r>
      <w:r>
        <w:rPr>
          <w:rFonts w:cs="Arial" w:ascii="Arial" w:hAnsi="Arial"/>
          <w:bCs/>
          <w:lang w:val="fr-FR"/>
        </w:rPr>
        <w:t>l</w:t>
      </w:r>
      <w:r>
        <w:rPr>
          <w:rFonts w:cs="Arial" w:ascii="Arial" w:hAnsi="Arial"/>
          <w:lang w:val="fr-FR"/>
        </w:rPr>
        <w:t>’apprentissage.</w:t>
      </w:r>
    </w:p>
    <w:p>
      <w:pPr>
        <w:pStyle w:val="Default"/>
        <w:jc w:val="center"/>
        <w:rPr>
          <w:rFonts w:ascii="Arial" w:hAnsi="Arial" w:cs="Arial"/>
          <w:b/>
          <w:b/>
          <w:color w:val="FF0000"/>
        </w:rPr>
      </w:pPr>
      <w:r>
        <w:rPr>
          <w:rFonts w:cs="Arial" w:ascii="Arial" w:hAnsi="Arial"/>
          <w:b/>
          <w:color w:val="FF0000"/>
        </w:rPr>
      </w:r>
    </w:p>
    <w:p>
      <w:pPr>
        <w:pStyle w:val="Default"/>
        <w:jc w:val="center"/>
        <w:rPr/>
      </w:pPr>
      <w:r>
        <w:rPr>
          <w:rFonts w:cs="Arial" w:ascii="Arial" w:hAnsi="Arial"/>
          <w:i/>
          <w:iCs/>
          <w:color w:val="00000A"/>
          <w:lang w:val="fr-FR"/>
        </w:rPr>
        <w:t>« </w:t>
      </w:r>
      <w:r>
        <w:rPr>
          <w:rFonts w:cs="Arial" w:ascii="Arial" w:hAnsi="Arial"/>
          <w:b/>
          <w:bCs/>
          <w:i/>
          <w:iCs/>
          <w:color w:val="00000A"/>
          <w:lang w:val="fr-FR"/>
        </w:rPr>
        <w:t>Si l’</w:t>
      </w:r>
      <w:r>
        <w:rPr>
          <w:rFonts w:cs="Arial" w:ascii="Arial" w:hAnsi="Arial"/>
          <w:b/>
          <w:bCs/>
          <w:i/>
          <w:iCs/>
          <w:color w:val="00000A"/>
          <w:lang w:val="fr-FR"/>
        </w:rPr>
        <w:t>évaluation</w:t>
      </w:r>
      <w:r>
        <w:rPr>
          <w:rFonts w:cs="Arial" w:ascii="Arial" w:hAnsi="Arial"/>
          <w:b/>
          <w:bCs/>
          <w:i/>
          <w:iCs/>
          <w:color w:val="00000A"/>
          <w:lang w:val="fr-FR"/>
        </w:rPr>
        <w:t xml:space="preserve"> de l</w:t>
      </w:r>
      <w:r>
        <w:rPr>
          <w:rFonts w:cs="Arial" w:ascii="Arial" w:hAnsi="Arial"/>
          <w:b/>
          <w:bCs/>
          <w:i/>
          <w:iCs/>
          <w:color w:val="00000A"/>
          <w:lang w:val="fr-FR"/>
        </w:rPr>
        <w:t>a formation</w:t>
      </w:r>
      <w:r>
        <w:rPr>
          <w:rFonts w:cs="Arial" w:ascii="Arial" w:hAnsi="Arial"/>
          <w:b/>
          <w:bCs/>
          <w:i/>
          <w:iCs/>
          <w:color w:val="00000A"/>
          <w:lang w:val="fr-FR"/>
        </w:rPr>
        <w:t xml:space="preserve"> n’amène pas une meilleure </w:t>
      </w:r>
      <w:r>
        <w:rPr>
          <w:rFonts w:cs="Arial" w:ascii="Arial" w:hAnsi="Arial"/>
          <w:b/>
          <w:bCs/>
          <w:i/>
          <w:iCs/>
          <w:color w:val="00000A"/>
          <w:lang w:val="fr-FR"/>
        </w:rPr>
        <w:t>formation</w:t>
      </w:r>
      <w:r>
        <w:rPr>
          <w:rFonts w:cs="Arial" w:ascii="Arial" w:hAnsi="Arial"/>
          <w:b/>
          <w:bCs/>
          <w:i/>
          <w:iCs/>
          <w:color w:val="00000A"/>
          <w:lang w:val="fr-FR"/>
        </w:rPr>
        <w:t xml:space="preserve"> pour les étudiants, alors nous ne devrions pas l</w:t>
      </w:r>
      <w:r>
        <w:rPr>
          <w:rFonts w:cs="Arial" w:ascii="Arial" w:hAnsi="Arial"/>
          <w:b/>
          <w:bCs/>
          <w:i/>
          <w:iCs/>
          <w:color w:val="00000A"/>
          <w:lang w:val="fr-FR"/>
        </w:rPr>
        <w:t>a faire</w:t>
      </w:r>
      <w:r>
        <w:rPr>
          <w:rFonts w:cs="Arial" w:ascii="Arial" w:hAnsi="Arial"/>
          <w:b/>
          <w:bCs/>
          <w:i/>
          <w:iCs/>
          <w:color w:val="00000A"/>
          <w:lang w:val="fr-FR"/>
        </w:rPr>
        <w:t>. »</w:t>
      </w:r>
      <w:r>
        <w:rPr>
          <w:rFonts w:cs="Arial" w:ascii="Arial" w:hAnsi="Arial"/>
          <w:iCs/>
          <w:color w:val="00000A"/>
          <w:lang w:val="fr-FR"/>
        </w:rPr>
        <w:t xml:space="preserve"> Popham, 2000)</w:t>
      </w:r>
    </w:p>
    <w:p>
      <w:pPr>
        <w:pStyle w:val="Default"/>
        <w:rPr>
          <w:rFonts w:ascii="Arial" w:hAnsi="Arial" w:cs="Arial"/>
        </w:rPr>
      </w:pPr>
      <w:r>
        <w:rPr>
          <w:rFonts w:cs="Arial" w:ascii="Arial" w:hAnsi="Arial"/>
        </w:rPr>
      </w:r>
    </w:p>
    <w:p>
      <w:pPr>
        <w:pStyle w:val="Default"/>
        <w:rPr>
          <w:rFonts w:ascii="Arial" w:hAnsi="Arial" w:cs="Arial"/>
          <w:b/>
          <w:b/>
        </w:rPr>
      </w:pPr>
      <w:r>
        <w:rPr>
          <w:rFonts w:cs="Arial" w:ascii="Arial" w:hAnsi="Arial"/>
          <w:b/>
        </w:rPr>
      </w:r>
    </w:p>
    <w:p>
      <w:pPr>
        <w:pStyle w:val="Default"/>
        <w:ind w:firstLine="708"/>
        <w:jc w:val="both"/>
        <w:rPr/>
      </w:pPr>
      <w:r>
        <w:rPr>
          <w:rFonts w:cs="Arial" w:ascii="Arial" w:hAnsi="Arial"/>
          <w:lang w:val="fr-FR"/>
        </w:rPr>
        <w:t xml:space="preserve">Une évaluation </w:t>
      </w:r>
      <w:r>
        <w:rPr>
          <w:rFonts w:cs="Arial" w:ascii="Arial" w:hAnsi="Arial"/>
          <w:lang w:val="fr-FR"/>
        </w:rPr>
        <w:t xml:space="preserve">formative </w:t>
      </w:r>
      <w:r>
        <w:rPr>
          <w:rFonts w:cs="Arial" w:ascii="Arial" w:hAnsi="Arial"/>
          <w:lang w:val="fr-FR"/>
        </w:rPr>
        <w:t xml:space="preserve">mal </w:t>
      </w:r>
      <w:r>
        <w:rPr>
          <w:rFonts w:cs="Arial" w:ascii="Arial" w:hAnsi="Arial"/>
          <w:lang w:val="fr-FR"/>
        </w:rPr>
        <w:t>faite</w:t>
      </w:r>
      <w:r>
        <w:rPr>
          <w:rFonts w:cs="Arial" w:ascii="Arial" w:hAnsi="Arial"/>
          <w:lang w:val="fr-FR"/>
        </w:rPr>
        <w:t xml:space="preserve"> et des retours insuffisants sont dommageables aux </w:t>
      </w:r>
      <w:r>
        <w:rPr>
          <w:rFonts w:cs="Arial" w:ascii="Arial" w:hAnsi="Arial"/>
          <w:lang w:val="fr-FR"/>
        </w:rPr>
        <w:t xml:space="preserve">acquis </w:t>
      </w:r>
      <w:r>
        <w:rPr>
          <w:rFonts w:cs="Arial" w:ascii="Arial" w:hAnsi="Arial"/>
          <w:lang w:val="fr-FR"/>
        </w:rPr>
        <w:t xml:space="preserve">de l’apprentissage. </w:t>
      </w:r>
      <w:r>
        <w:rPr>
          <w:rFonts w:cs="Arial" w:ascii="Arial" w:hAnsi="Arial"/>
          <w:lang w:val="fr-FR"/>
        </w:rPr>
        <w:t>Faire un</w:t>
      </w:r>
      <w:r>
        <w:rPr>
          <w:rFonts w:cs="Arial" w:ascii="Arial" w:hAnsi="Arial"/>
          <w:b/>
          <w:bCs/>
          <w:lang w:val="fr-FR"/>
        </w:rPr>
        <w:t xml:space="preserve"> retour </w:t>
      </w:r>
      <w:r>
        <w:rPr>
          <w:rFonts w:cs="Arial" w:ascii="Arial" w:hAnsi="Arial"/>
          <w:b/>
          <w:bCs/>
          <w:lang w:val="fr-FR"/>
        </w:rPr>
        <w:t>(feedback)</w:t>
      </w:r>
      <w:r>
        <w:rPr>
          <w:rFonts w:cs="Arial" w:ascii="Arial" w:hAnsi="Arial"/>
          <w:b/>
          <w:bCs/>
          <w:lang w:val="fr-FR"/>
        </w:rPr>
        <w:t xml:space="preserve"> signifie fournir </w:t>
      </w:r>
      <w:r>
        <w:rPr>
          <w:rFonts w:cs="Arial" w:ascii="Arial" w:hAnsi="Arial"/>
          <w:b/>
          <w:bCs/>
          <w:lang w:val="fr-FR"/>
        </w:rPr>
        <w:t xml:space="preserve">à l’apprenant </w:t>
      </w:r>
      <w:r>
        <w:rPr>
          <w:rFonts w:cs="Arial" w:ascii="Arial" w:hAnsi="Arial"/>
          <w:b/>
          <w:bCs/>
          <w:lang w:val="fr-FR"/>
        </w:rPr>
        <w:t xml:space="preserve">des informations sur comment et pourquoi </w:t>
      </w:r>
      <w:r>
        <w:rPr>
          <w:rFonts w:cs="Arial" w:ascii="Arial" w:hAnsi="Arial"/>
          <w:b/>
          <w:bCs/>
          <w:lang w:val="fr-FR"/>
        </w:rPr>
        <w:t>il</w:t>
      </w:r>
      <w:r>
        <w:rPr>
          <w:rFonts w:cs="Arial" w:ascii="Arial" w:hAnsi="Arial"/>
          <w:b/>
          <w:bCs/>
          <w:lang w:val="fr-FR"/>
        </w:rPr>
        <w:t xml:space="preserve"> comprend ou ne comprend pas, et quelles directions il doit prendre pour s’améliorer.</w:t>
      </w:r>
    </w:p>
    <w:p>
      <w:pPr>
        <w:pStyle w:val="Default"/>
        <w:jc w:val="both"/>
        <w:rPr>
          <w:rFonts w:ascii="Arial" w:hAnsi="Arial" w:cs="Arial"/>
        </w:rPr>
      </w:pPr>
      <w:r>
        <w:rPr>
          <w:rFonts w:cs="Arial" w:ascii="Arial" w:hAnsi="Arial"/>
        </w:rPr>
      </w:r>
    </w:p>
    <w:p>
      <w:pPr>
        <w:pStyle w:val="Default"/>
        <w:ind w:firstLine="708"/>
        <w:jc w:val="both"/>
        <w:rPr>
          <w:rFonts w:ascii="Arial" w:hAnsi="Arial" w:cs="Arial"/>
        </w:rPr>
      </w:pPr>
      <w:r>
        <w:rPr>
          <w:rFonts w:cs="Arial" w:ascii="Arial" w:hAnsi="Arial"/>
        </w:rPr>
      </w:r>
    </w:p>
    <w:p>
      <w:pPr>
        <w:pStyle w:val="Default"/>
        <w:ind w:firstLine="708"/>
        <w:jc w:val="both"/>
        <w:rPr>
          <w:rFonts w:ascii="Arial" w:hAnsi="Arial" w:cs="Arial"/>
        </w:rPr>
      </w:pPr>
      <w:r>
        <w:rPr>
          <w:rFonts w:cs="Arial" w:ascii="Arial" w:hAnsi="Arial"/>
        </w:rPr>
      </w:r>
    </w:p>
    <w:p>
      <w:pPr>
        <w:pStyle w:val="Default"/>
        <w:ind w:firstLine="708"/>
        <w:jc w:val="both"/>
        <w:rPr/>
      </w:pPr>
      <w:r>
        <w:rPr>
          <w:rFonts w:cs="Arial" w:ascii="Arial" w:hAnsi="Arial"/>
          <w:lang w:val="fr-FR"/>
        </w:rPr>
        <w:t>Dans « </w:t>
      </w:r>
      <w:r>
        <w:rPr>
          <w:rFonts w:cs="Arial" w:ascii="Arial" w:hAnsi="Arial"/>
          <w:i/>
          <w:lang w:val="fr-FR"/>
        </w:rPr>
        <w:t>Visible Learning : a synthesis of over 800 meta-analyses relating to achievement</w:t>
      </w:r>
      <w:r>
        <w:rPr>
          <w:rFonts w:cs="Arial" w:ascii="Arial" w:hAnsi="Arial"/>
          <w:lang w:val="fr-FR"/>
        </w:rPr>
        <w:t xml:space="preserve"> » (2009), J. Hattie présente des résultats de recherche qui démontrent que les retours, </w:t>
      </w:r>
      <w:r>
        <w:rPr>
          <w:rFonts w:cs="Arial" w:ascii="Arial" w:hAnsi="Arial"/>
          <w:lang w:val="fr-FR"/>
        </w:rPr>
        <w:t>le feedback,</w:t>
      </w:r>
      <w:r>
        <w:rPr>
          <w:rFonts w:cs="Arial" w:ascii="Arial" w:hAnsi="Arial"/>
          <w:lang w:val="fr-FR"/>
        </w:rPr>
        <w:t xml:space="preserve"> sont la meilleure technique d’enseignement et un p</w:t>
      </w:r>
      <w:r>
        <w:rPr>
          <w:rFonts w:cs="Arial" w:ascii="Arial" w:hAnsi="Arial"/>
          <w:lang w:val="fr-FR"/>
        </w:rPr>
        <w:t xml:space="preserve">rédicteur </w:t>
      </w:r>
      <w:r>
        <w:rPr>
          <w:rFonts w:cs="Arial" w:ascii="Arial" w:hAnsi="Arial"/>
          <w:lang w:val="fr-FR"/>
        </w:rPr>
        <w:t xml:space="preserve">de l’apprentissage </w:t>
      </w:r>
      <w:r>
        <w:rPr>
          <w:rFonts w:cs="Arial" w:ascii="Arial" w:hAnsi="Arial"/>
          <w:lang w:val="fr-FR"/>
        </w:rPr>
        <w:t>effectif</w:t>
      </w:r>
      <w:r>
        <w:rPr>
          <w:rFonts w:cs="Arial" w:ascii="Arial" w:hAnsi="Arial"/>
          <w:lang w:val="fr-FR"/>
        </w:rPr>
        <w:t>.</w:t>
      </w:r>
    </w:p>
    <w:p>
      <w:pPr>
        <w:pStyle w:val="Default"/>
        <w:ind w:firstLine="708"/>
        <w:jc w:val="both"/>
        <w:rPr/>
      </w:pPr>
      <w:r>
        <w:rPr/>
      </w:r>
    </w:p>
    <w:p>
      <w:pPr>
        <w:pStyle w:val="Default"/>
        <w:ind w:firstLine="708"/>
        <w:jc w:val="both"/>
        <w:rPr>
          <w:rFonts w:ascii="Arial" w:hAnsi="Arial" w:cs="Arial"/>
        </w:rPr>
      </w:pPr>
      <w:r>
        <w:rPr>
          <w:rFonts w:cs="Arial" w:ascii="Arial" w:hAnsi="Arial"/>
          <w:lang w:val="fr-FR"/>
        </w:rPr>
        <w:t>Hattie et Timperley (2007) ont identifié trois questions essentielles auxquelles on peut répondre grâce au processus de retours d’informations :</w:t>
      </w:r>
    </w:p>
    <w:p>
      <w:pPr>
        <w:pStyle w:val="Default"/>
        <w:jc w:val="both"/>
        <w:rPr>
          <w:rFonts w:ascii="Arial" w:hAnsi="Arial" w:cs="Arial"/>
        </w:rPr>
      </w:pPr>
      <w:r>
        <w:rPr>
          <w:rFonts w:cs="Arial" w:ascii="Arial" w:hAnsi="Arial"/>
        </w:rPr>
      </w:r>
    </w:p>
    <w:p>
      <w:pPr>
        <w:pStyle w:val="Default"/>
        <w:numPr>
          <w:ilvl w:val="0"/>
          <w:numId w:val="1"/>
        </w:numPr>
        <w:ind w:left="720" w:hanging="11"/>
        <w:rPr>
          <w:rFonts w:ascii="Arial" w:hAnsi="Arial" w:cs="Arial"/>
          <w:b/>
          <w:b/>
        </w:rPr>
      </w:pPr>
      <w:r>
        <w:rPr>
          <w:rFonts w:cs="Arial" w:ascii="Arial" w:hAnsi="Arial"/>
          <w:b/>
          <w:bCs/>
          <w:lang w:val="fr-FR"/>
        </w:rPr>
        <w:t>Où vais-je ?</w:t>
      </w:r>
    </w:p>
    <w:p>
      <w:pPr>
        <w:pStyle w:val="Default"/>
        <w:numPr>
          <w:ilvl w:val="0"/>
          <w:numId w:val="1"/>
        </w:numPr>
        <w:ind w:left="720" w:hanging="11"/>
        <w:rPr>
          <w:rFonts w:ascii="Arial" w:hAnsi="Arial" w:cs="Arial"/>
          <w:b/>
          <w:b/>
        </w:rPr>
      </w:pPr>
      <w:r>
        <w:rPr>
          <w:rFonts w:cs="Arial" w:ascii="Arial" w:hAnsi="Arial"/>
          <w:b/>
          <w:bCs/>
          <w:lang w:val="fr-FR"/>
        </w:rPr>
        <w:t>Comment y vais-je ?</w:t>
      </w:r>
    </w:p>
    <w:p>
      <w:pPr>
        <w:pStyle w:val="Default"/>
        <w:numPr>
          <w:ilvl w:val="0"/>
          <w:numId w:val="1"/>
        </w:numPr>
        <w:ind w:left="720" w:hanging="11"/>
        <w:rPr>
          <w:rFonts w:ascii="Arial" w:hAnsi="Arial" w:cs="Arial"/>
          <w:b/>
          <w:b/>
        </w:rPr>
      </w:pPr>
      <w:r>
        <w:rPr>
          <w:rFonts w:cs="Arial" w:ascii="Arial" w:hAnsi="Arial"/>
          <w:b/>
          <w:bCs/>
          <w:lang w:val="fr-FR"/>
        </w:rPr>
        <w:t>Quelle est la prochaine étape ?</w:t>
      </w:r>
    </w:p>
    <w:p>
      <w:pPr>
        <w:pStyle w:val="Default"/>
        <w:jc w:val="both"/>
        <w:rPr>
          <w:rFonts w:ascii="Arial" w:hAnsi="Arial" w:cs="Arial"/>
        </w:rPr>
      </w:pPr>
      <w:r>
        <w:rPr>
          <w:rFonts w:cs="Arial" w:ascii="Arial" w:hAnsi="Arial"/>
        </w:rPr>
      </w:r>
    </w:p>
    <w:p>
      <w:pPr>
        <w:pStyle w:val="Default"/>
        <w:ind w:firstLine="708"/>
        <w:jc w:val="both"/>
        <w:rPr>
          <w:rFonts w:ascii="Arial" w:hAnsi="Arial" w:cs="Arial"/>
        </w:rPr>
      </w:pPr>
      <w:r>
        <w:rPr>
          <w:rFonts w:cs="Arial" w:ascii="Arial" w:hAnsi="Arial"/>
        </w:rPr>
      </w:r>
    </w:p>
    <w:p>
      <w:pPr>
        <w:pStyle w:val="Default"/>
        <w:ind w:firstLine="708"/>
        <w:jc w:val="both"/>
        <w:rPr>
          <w:rFonts w:ascii="Arial" w:hAnsi="Arial" w:cs="Arial"/>
        </w:rPr>
      </w:pPr>
      <w:r>
        <w:rPr>
          <w:rFonts w:cs="Arial" w:ascii="Arial" w:hAnsi="Arial"/>
          <w:lang w:val="fr-FR"/>
        </w:rPr>
        <w:t xml:space="preserve">Hattie, (2009), déclare que c’est une erreur de considérer que les retours d’informations vont uniquement des enseignants vers les étudiants (de tels retours sont souvent sociaux et comportementaux). </w:t>
      </w:r>
      <w:r>
        <w:rPr>
          <w:rFonts w:cs="Arial" w:ascii="Arial" w:hAnsi="Arial"/>
          <w:b/>
          <w:bCs/>
          <w:lang w:val="fr-FR"/>
        </w:rPr>
        <w:t>Les retours d’informations sont plus efficaces quand ils vont des étudiants vers les enseignants.</w:t>
      </w:r>
      <w:r>
        <w:rPr>
          <w:rFonts w:cs="Arial" w:ascii="Arial" w:hAnsi="Arial"/>
          <w:lang w:val="fr-FR"/>
        </w:rPr>
        <w:t xml:space="preserve"> Lorsque les enseignants cherchent, ou au minimum sont ouverts aux retours des étudiants concernant ce qu’ils savent, ce qu’ils comprennent, là où ils font des erreurs, quand il y a des incompréhensions et quand ils ne s’impliquent pas, alors l’enseignement et l’apprentissage peuvent être synchrones et efficaces. Les retours vers les enseignants contribuent à rendre l’apprentissage visible.</w:t>
      </w:r>
    </w:p>
    <w:p>
      <w:pPr>
        <w:pStyle w:val="Default"/>
        <w:ind w:firstLine="708"/>
        <w:jc w:val="both"/>
        <w:rPr>
          <w:rFonts w:ascii="Arial" w:hAnsi="Arial" w:cs="Arial"/>
        </w:rPr>
      </w:pPr>
      <w:r>
        <w:rPr>
          <w:rFonts w:cs="Arial" w:ascii="Arial" w:hAnsi="Arial"/>
          <w:lang w:val="fr-FR"/>
        </w:rPr>
        <w:t>En d’autres termes, un environnement idéal d’apprentissage est mis en place quand aussi bien les enseignants que les étudiants cherchent des réponses aux trois questions ci-dessus.</w:t>
      </w:r>
    </w:p>
    <w:p>
      <w:pPr>
        <w:pStyle w:val="Default"/>
        <w:rPr>
          <w:rFonts w:ascii="Arial" w:hAnsi="Arial" w:cs="Arial"/>
          <w:sz w:val="28"/>
          <w:szCs w:val="28"/>
        </w:rPr>
      </w:pPr>
      <w:r>
        <w:rPr>
          <w:rFonts w:cs="Arial" w:ascii="Arial" w:hAnsi="Arial"/>
          <w:sz w:val="28"/>
          <w:szCs w:val="28"/>
        </w:rPr>
      </w:r>
    </w:p>
    <w:p>
      <w:pPr>
        <w:pStyle w:val="Default"/>
        <w:ind w:left="1440" w:hanging="0"/>
        <w:rPr>
          <w:rFonts w:ascii="Arial" w:hAnsi="Arial" w:cs="Arial"/>
          <w:sz w:val="28"/>
          <w:szCs w:val="28"/>
        </w:rPr>
      </w:pPr>
      <w:r>
        <w:rPr>
          <w:rFonts w:cs="Arial" w:ascii="Arial" w:hAnsi="Arial"/>
          <w:sz w:val="28"/>
          <w:szCs w:val="28"/>
        </w:rPr>
      </w:r>
    </w:p>
    <w:p>
      <w:pPr>
        <w:pStyle w:val="Normal"/>
        <w:rPr>
          <w:rFonts w:ascii="Arial" w:hAnsi="Arial" w:cs="Arial"/>
          <w:b/>
          <w:b/>
          <w:sz w:val="28"/>
          <w:szCs w:val="28"/>
        </w:rPr>
      </w:pPr>
      <w:r>
        <w:rPr>
          <w:rFonts w:cs="Arial" w:ascii="Arial" w:hAnsi="Arial"/>
          <w:b/>
          <w:sz w:val="28"/>
          <w:szCs w:val="28"/>
        </w:rPr>
      </w:r>
      <w:r>
        <w:br w:type="page"/>
      </w:r>
    </w:p>
    <w:p>
      <w:pPr>
        <w:pStyle w:val="Normal"/>
        <w:jc w:val="center"/>
        <w:rPr>
          <w:rFonts w:ascii="Arial" w:hAnsi="Arial" w:cs="Arial"/>
          <w:b/>
          <w:b/>
          <w:sz w:val="28"/>
          <w:szCs w:val="28"/>
        </w:rPr>
      </w:pPr>
      <w:r>
        <w:rPr>
          <w:rFonts w:cs="Arial" w:ascii="Arial" w:hAnsi="Arial"/>
          <w:b/>
          <w:bCs/>
          <w:sz w:val="28"/>
          <w:szCs w:val="28"/>
          <w:lang w:val="fr-FR"/>
        </w:rPr>
        <w:t>Bibliographie</w:t>
      </w:r>
    </w:p>
    <w:p>
      <w:pPr>
        <w:pStyle w:val="NormalWeb"/>
        <w:shd w:val="clear" w:color="auto" w:fill="FFFFFF"/>
        <w:spacing w:beforeAutospacing="0" w:before="0" w:afterAutospacing="0" w:after="0"/>
        <w:rPr>
          <w:rFonts w:ascii="Arial" w:hAnsi="Arial" w:cs="Arial"/>
        </w:rPr>
      </w:pPr>
      <w:r>
        <w:rPr>
          <w:rFonts w:cs="Arial" w:ascii="Arial" w:hAnsi="Arial"/>
          <w:lang w:val="fr-FR"/>
        </w:rPr>
        <w:t>Boud, D. Assessment and learning : contradictory or complementary ? In P. Knight (Ed.) Assessment for Learning in Higher Éducation. 1995. Londres : Kogan Page, pp. 35-48.</w:t>
      </w:r>
    </w:p>
    <w:p>
      <w:pPr>
        <w:pStyle w:val="NormalWeb"/>
        <w:shd w:val="clear" w:color="auto" w:fill="FFFFFF"/>
        <w:spacing w:beforeAutospacing="0" w:before="0" w:afterAutospacing="0" w:after="0"/>
        <w:rPr>
          <w:rFonts w:ascii="Arial" w:hAnsi="Arial" w:cs="Arial"/>
        </w:rPr>
      </w:pPr>
      <w:r>
        <w:rPr>
          <w:rFonts w:cs="Arial" w:ascii="Arial" w:hAnsi="Arial"/>
        </w:rPr>
      </w:r>
    </w:p>
    <w:p>
      <w:pPr>
        <w:pStyle w:val="Default"/>
        <w:rPr>
          <w:rFonts w:ascii="Arial" w:hAnsi="Arial" w:cs="Arial"/>
        </w:rPr>
      </w:pPr>
      <w:r>
        <w:rPr>
          <w:rFonts w:cs="Arial" w:ascii="Arial" w:hAnsi="Arial"/>
          <w:lang w:val="fr-FR"/>
        </w:rPr>
        <w:t>Handbook of Formative Assessment. 2010. New York, NY : Routledge.</w:t>
      </w:r>
    </w:p>
    <w:p>
      <w:pPr>
        <w:pStyle w:val="Default"/>
        <w:rPr>
          <w:rFonts w:ascii="Arial" w:hAnsi="Arial" w:cs="Arial"/>
        </w:rPr>
      </w:pPr>
      <w:r>
        <w:rPr>
          <w:rFonts w:cs="Arial" w:ascii="Arial" w:hAnsi="Arial"/>
        </w:rPr>
      </w:r>
    </w:p>
    <w:p>
      <w:pPr>
        <w:pStyle w:val="Default"/>
        <w:rPr>
          <w:rFonts w:ascii="Arial" w:hAnsi="Arial" w:cs="Arial"/>
        </w:rPr>
      </w:pPr>
      <w:r>
        <w:rPr>
          <w:rFonts w:cs="Arial" w:ascii="Arial" w:hAnsi="Arial"/>
          <w:lang w:val="fr-FR"/>
        </w:rPr>
        <w:t xml:space="preserve">Hattie, J. A. </w:t>
      </w:r>
      <w:r>
        <w:rPr>
          <w:rFonts w:cs="Arial" w:ascii="Arial" w:hAnsi="Arial"/>
          <w:i/>
          <w:iCs/>
          <w:lang w:val="fr-FR"/>
        </w:rPr>
        <w:t>Teachers Make a Difference : What is the research evidence?</w:t>
      </w:r>
      <w:r>
        <w:rPr>
          <w:rFonts w:cs="Arial" w:ascii="Arial" w:hAnsi="Arial"/>
          <w:lang w:val="fr-FR"/>
        </w:rPr>
        <w:t>/ Australian Council for Éducational Research Annual Conference on : Building Teacher Quality. Octobre 2003.</w:t>
      </w:r>
    </w:p>
    <w:p>
      <w:pPr>
        <w:pStyle w:val="Default"/>
        <w:rPr>
          <w:rFonts w:ascii="Arial" w:hAnsi="Arial" w:cs="Arial"/>
        </w:rPr>
      </w:pPr>
      <w:r>
        <w:rPr>
          <w:rFonts w:cs="Arial" w:ascii="Arial" w:hAnsi="Arial"/>
        </w:rPr>
      </w:r>
    </w:p>
    <w:p>
      <w:pPr>
        <w:pStyle w:val="Default"/>
        <w:rPr>
          <w:rFonts w:ascii="Arial" w:hAnsi="Arial" w:cs="Arial"/>
          <w:color w:val="00000A"/>
          <w:highlight w:val="white"/>
        </w:rPr>
      </w:pPr>
      <w:r>
        <w:rPr>
          <w:rFonts w:cs="Arial" w:ascii="Arial" w:hAnsi="Arial"/>
          <w:lang w:val="fr-FR"/>
        </w:rPr>
        <w:t xml:space="preserve">Hattie, J. A. </w:t>
      </w:r>
      <w:r>
        <w:rPr>
          <w:rFonts w:cs="Arial" w:ascii="Arial" w:hAnsi="Arial"/>
          <w:i/>
          <w:iCs/>
          <w:lang w:val="fr-FR"/>
        </w:rPr>
        <w:t>Visible Learning ; a synthesis of over 800 meta-analyses relating to achievement</w:t>
      </w:r>
      <w:r>
        <w:rPr>
          <w:rFonts w:cs="Arial" w:ascii="Arial" w:hAnsi="Arial"/>
          <w:lang w:val="fr-FR"/>
        </w:rPr>
        <w:t xml:space="preserve">. 2009. </w:t>
      </w:r>
      <w:r>
        <w:rPr>
          <w:rFonts w:cs="Arial" w:ascii="Arial" w:hAnsi="Arial"/>
          <w:color w:val="00000A"/>
          <w:shd w:fill="FFFFFF" w:val="clear"/>
          <w:lang w:val="fr-FR"/>
        </w:rPr>
        <w:t>Routledge.</w:t>
      </w:r>
      <w:r>
        <w:rPr>
          <w:rStyle w:val="Appleconvertedspace"/>
          <w:rFonts w:cs="Arial" w:ascii="Arial" w:hAnsi="Arial"/>
          <w:color w:val="00000A"/>
          <w:shd w:fill="FFFFFF" w:val="clear"/>
          <w:lang w:val="fr-FR"/>
        </w:rPr>
        <w:t> </w:t>
      </w:r>
      <w:r>
        <w:rPr>
          <w:rFonts w:cs="Arial" w:ascii="Arial" w:hAnsi="Arial"/>
          <w:color w:val="00000A"/>
          <w:shd w:fill="FFFFFF" w:val="clear"/>
          <w:lang w:val="fr-FR"/>
        </w:rPr>
        <w:t>pp. 378.</w:t>
      </w:r>
    </w:p>
    <w:p>
      <w:pPr>
        <w:pStyle w:val="Default"/>
        <w:rPr>
          <w:rFonts w:ascii="Arial" w:hAnsi="Arial" w:cs="Arial"/>
        </w:rPr>
      </w:pPr>
      <w:r>
        <w:rPr>
          <w:rFonts w:cs="Arial" w:ascii="Arial" w:hAnsi="Arial"/>
        </w:rPr>
      </w:r>
    </w:p>
    <w:p>
      <w:pPr>
        <w:pStyle w:val="Default"/>
        <w:rPr>
          <w:rFonts w:ascii="Arial" w:hAnsi="Arial" w:cs="Arial"/>
        </w:rPr>
      </w:pPr>
      <w:r>
        <w:rPr>
          <w:rFonts w:cs="Arial" w:ascii="Arial" w:hAnsi="Arial"/>
          <w:lang w:val="fr-FR"/>
        </w:rPr>
        <w:t xml:space="preserve">Hattie, J. A. and Timperley, H. </w:t>
      </w:r>
      <w:r>
        <w:rPr>
          <w:rFonts w:cs="Arial" w:ascii="Arial" w:hAnsi="Arial"/>
          <w:i/>
          <w:iCs/>
          <w:lang w:val="fr-FR"/>
        </w:rPr>
        <w:t>The Power of Feedback</w:t>
      </w:r>
      <w:r>
        <w:rPr>
          <w:rFonts w:cs="Arial" w:ascii="Arial" w:hAnsi="Arial"/>
          <w:lang w:val="fr-FR"/>
        </w:rPr>
        <w:t>/ Review of Éducational Research. 77(1), 2007. p. 88.</w:t>
      </w:r>
    </w:p>
    <w:p>
      <w:pPr>
        <w:pStyle w:val="Default"/>
        <w:rPr/>
      </w:pPr>
      <w:r>
        <w:rPr>
          <w:rFonts w:cs="Arial" w:ascii="Arial" w:hAnsi="Arial"/>
          <w:lang w:val="fr-FR"/>
        </w:rPr>
        <w:t xml:space="preserve">La version en ligne de cet article peut être consultée à </w:t>
      </w:r>
      <w:hyperlink r:id="rId9">
        <w:r>
          <w:rPr>
            <w:rStyle w:val="LienInternet"/>
            <w:rFonts w:cs="Arial" w:ascii="Arial" w:hAnsi="Arial"/>
            <w:lang w:val="fr-FR"/>
          </w:rPr>
          <w:t>http://rer.sagepub.com/content/77/1/81</w:t>
        </w:r>
      </w:hyperlink>
    </w:p>
    <w:p>
      <w:pPr>
        <w:pStyle w:val="Default"/>
        <w:rPr>
          <w:rFonts w:ascii="Arial" w:hAnsi="Arial" w:cs="Arial"/>
        </w:rPr>
      </w:pPr>
      <w:r>
        <w:rPr>
          <w:rFonts w:cs="Arial" w:ascii="Arial" w:hAnsi="Arial"/>
        </w:rPr>
      </w:r>
    </w:p>
    <w:p>
      <w:pPr>
        <w:pStyle w:val="Default"/>
        <w:rPr>
          <w:rFonts w:ascii="Arial" w:hAnsi="Arial" w:cs="Arial"/>
        </w:rPr>
      </w:pPr>
      <w:r>
        <w:rPr>
          <w:rFonts w:cs="Arial" w:ascii="Arial" w:hAnsi="Arial"/>
          <w:lang w:val="fr-FR"/>
        </w:rPr>
        <w:t xml:space="preserve">Newton, P. E. </w:t>
      </w:r>
      <w:r>
        <w:rPr>
          <w:rFonts w:cs="Arial" w:ascii="Arial" w:hAnsi="Arial"/>
          <w:i/>
          <w:iCs/>
          <w:lang w:val="fr-FR"/>
        </w:rPr>
        <w:t>Clarifying the purposes of educational assessment</w:t>
      </w:r>
      <w:r>
        <w:rPr>
          <w:rFonts w:cs="Arial" w:ascii="Arial" w:hAnsi="Arial"/>
          <w:lang w:val="fr-FR"/>
        </w:rPr>
        <w:t xml:space="preserve"> / Assessment in Éducation Vol. 14, No. 2, juillet 2007, pp. 149–170.</w:t>
      </w:r>
    </w:p>
    <w:p>
      <w:pPr>
        <w:pStyle w:val="NormalWeb"/>
        <w:shd w:val="clear" w:color="auto" w:fill="FFFFFF"/>
        <w:spacing w:beforeAutospacing="0" w:before="0" w:afterAutospacing="0" w:after="0"/>
        <w:rPr>
          <w:rFonts w:ascii="Arial" w:hAnsi="Arial" w:cs="Arial"/>
        </w:rPr>
      </w:pPr>
      <w:r>
        <w:rPr>
          <w:rFonts w:cs="Arial" w:ascii="Arial" w:hAnsi="Arial"/>
        </w:rPr>
      </w:r>
    </w:p>
    <w:p>
      <w:pPr>
        <w:pStyle w:val="Default"/>
        <w:rPr>
          <w:rFonts w:ascii="Arial" w:hAnsi="Arial" w:cs="Arial"/>
        </w:rPr>
      </w:pPr>
      <w:r>
        <w:rPr>
          <w:rFonts w:cs="Arial" w:ascii="Arial" w:hAnsi="Arial"/>
          <w:lang w:val="fr-FR"/>
        </w:rPr>
        <w:t xml:space="preserve">Popham, W.J. </w:t>
      </w:r>
      <w:r>
        <w:rPr>
          <w:rFonts w:cs="Arial" w:ascii="Arial" w:hAnsi="Arial"/>
          <w:i/>
          <w:iCs/>
          <w:lang w:val="fr-FR"/>
        </w:rPr>
        <w:t>Modern Éducational Measurement : Practical guidelines for educational leaders</w:t>
      </w:r>
      <w:r>
        <w:rPr>
          <w:rFonts w:cs="Arial" w:ascii="Arial" w:hAnsi="Arial"/>
          <w:lang w:val="fr-FR"/>
        </w:rPr>
        <w:t>. 2000. Boston : Allyn &amp; Bacon.</w:t>
      </w:r>
    </w:p>
    <w:p>
      <w:pPr>
        <w:pStyle w:val="Default"/>
        <w:pBdr/>
        <w:rPr/>
      </w:pPr>
      <w:r>
        <w:rPr/>
      </w:r>
    </w:p>
    <w:sectPr>
      <w:headerReference w:type="default" r:id="rId10"/>
      <w:footerReference w:type="default" r:id="rId11"/>
      <w:type w:val="nextPage"/>
      <w:pgSz w:w="11906" w:h="16838"/>
      <w:pgMar w:left="862" w:right="862" w:header="907" w:top="964" w:footer="907" w:bottom="964" w:gutter="0"/>
      <w:pgNumType w:fmt="decimal"/>
      <w:formProt w:val="false"/>
      <w:textDirection w:val="lrTb"/>
      <w:docGrid w:type="default" w:linePitch="299"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w:charset w:val="01"/>
    <w:family w:val="swiss"/>
    <w:pitch w:val="default"/>
  </w:font>
  <w:font w:name="Cambria">
    <w:charset w:val="01"/>
    <w:family w:val="swiss"/>
    <w:pitch w:val="default"/>
  </w:font>
  <w:font w:name="Tahoma">
    <w:charset w:val="01"/>
    <w:family w:val="swiss"/>
    <w:pitch w:val="default"/>
  </w:font>
  <w:font w:name="Liberation Sans">
    <w:altName w:val="Arial"/>
    <w:charset w:val="01"/>
    <w:family w:val="swiss"/>
    <w:pitch w:val="variable"/>
  </w:font>
  <w:font w:name="Liberation Sans">
    <w:altName w:val="Arial"/>
    <w:charset w:val="01"/>
    <w:family w:val="swiss"/>
    <w:pitch w:val="default"/>
  </w:font>
  <w:font w:name="Arial">
    <w:charset w:val="01"/>
    <w:family w:val="swiss"/>
    <w:pitch w:val="default"/>
  </w:font>
  <w:font w:name="Symbol">
    <w:charset w:val="02"/>
    <w:family w:val="auto"/>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lledutableau"/>
      <w:tblW w:w="9577" w:type="dxa"/>
      <w:jc w:val="left"/>
      <w:tblInd w:w="0" w:type="dxa"/>
      <w:tblCellMar>
        <w:top w:w="113" w:type="dxa"/>
        <w:left w:w="108" w:type="dxa"/>
        <w:bottom w:w="0" w:type="dxa"/>
        <w:right w:w="108" w:type="dxa"/>
      </w:tblCellMar>
      <w:tblLook w:val="04a0" w:noVBand="1" w:noHBand="0" w:firstRow="1" w:lastRow="0" w:firstColumn="1" w:lastColumn="0"/>
    </w:tblPr>
    <w:tblGrid>
      <w:gridCol w:w="4788"/>
      <w:gridCol w:w="4788"/>
    </w:tblGrid>
    <w:tr>
      <w:trPr/>
      <w:tc>
        <w:tcPr>
          <w:tcW w:w="4788" w:type="dxa"/>
          <w:tcBorders>
            <w:top w:val="nil"/>
            <w:left w:val="nil"/>
            <w:bottom w:val="nil"/>
            <w:right w:val="nil"/>
            <w:insideH w:val="nil"/>
            <w:insideV w:val="nil"/>
          </w:tcBorders>
          <w:shd w:fill="auto" w:val="clear"/>
        </w:tcPr>
        <w:p>
          <w:pPr>
            <w:pStyle w:val="Pieddepage"/>
            <w:spacing w:lineRule="auto" w:line="240" w:before="0" w:after="0"/>
            <w:rPr>
              <w:sz w:val="18"/>
              <w:szCs w:val="18"/>
            </w:rPr>
          </w:pPr>
          <w:r>
            <w:rPr>
              <w:sz w:val="18"/>
              <w:szCs w:val="18"/>
              <w:lang w:val="fr-FR"/>
            </w:rPr>
            <w:t>Version 2.2 2017</w:t>
          </w:r>
          <w:r>
            <mc:AlternateContent>
              <mc:Choice Requires="wps">
                <w:drawing>
                  <wp:anchor behindDoc="0" distT="0" distB="0" distL="0" distR="0" simplePos="0" locked="0" layoutInCell="1" allowOverlap="1" relativeHeight="13">
                    <wp:simplePos x="0" y="0"/>
                    <wp:positionH relativeFrom="margin">
                      <wp:align>center</wp:align>
                    </wp:positionH>
                    <wp:positionV relativeFrom="paragraph">
                      <wp:posOffset>635</wp:posOffset>
                    </wp:positionV>
                    <wp:extent cx="71755" cy="170815"/>
                    <wp:effectExtent l="0" t="0" r="0" b="0"/>
                    <wp:wrapTopAndBottom/>
                    <wp:docPr id="3" name="Cadre1"/>
                    <a:graphic xmlns:a="http://schemas.openxmlformats.org/drawingml/2006/main">
                      <a:graphicData uri="http://schemas.microsoft.com/office/word/2010/wordprocessingShape">
                        <wps:wsp>
                          <wps:cNvSpPr txBox="1"/>
                          <wps:spPr>
                            <a:xfrm>
                              <a:off x="0" y="0"/>
                              <a:ext cx="71755" cy="170815"/>
                            </a:xfrm>
                            <a:prstGeom prst="rect"/>
                            <a:solidFill>
                              <a:srgbClr val="FFFFFF">
                                <a:alpha val="0"/>
                              </a:srgbClr>
                            </a:solidFill>
                          </wps:spPr>
                          <wps:txbx>
                            <w:txbxContent>
                              <w:p>
                                <w:pPr>
                                  <w:pStyle w:val="Pieddepage"/>
                                  <w:pBdr/>
                                  <w:rPr/>
                                </w:pPr>
                                <w:r>
                                  <w:rPr>
                                    <w:rStyle w:val="Pagenumber"/>
                                  </w:rPr>
                                  <w:fldChar w:fldCharType="begin"/>
                                </w:r>
                                <w:r>
                                  <w:instrText> PAGE </w:instrText>
                                </w:r>
                                <w:r>
                                  <w:fldChar w:fldCharType="separate"/>
                                </w:r>
                                <w:r>
                                  <w:t>5</w:t>
                                </w:r>
                                <w:r>
                                  <w:fldChar w:fldCharType="end"/>
                                </w:r>
                              </w:p>
                            </w:txbxContent>
                          </wps:txbx>
                          <wps:bodyPr anchor="t" lIns="0" tIns="0" rIns="0" bIns="0">
                            <a:spAutoFit/>
                          </wps:bodyPr>
                        </wps:wsp>
                      </a:graphicData>
                    </a:graphic>
                  </wp:anchor>
                </w:drawing>
              </mc:Choice>
              <mc:Fallback>
                <w:pict>
                  <v:rect fillcolor="#FFFFFF" style="position:absolute;rotation:0;width:5.65pt;height:13.45pt;mso-wrap-distance-left:0pt;mso-wrap-distance-right:0pt;mso-wrap-distance-top:0pt;mso-wrap-distance-bottom:0pt;margin-top:0.05pt;mso-position-vertical-relative:text;margin-left:251.75pt;mso-position-horizontal:center;mso-position-horizontal-relative:margin">
                    <v:fill opacity="0f"/>
                    <v:textbox inset="0in,0in,0in,0in">
                      <w:txbxContent>
                        <w:p>
                          <w:pPr>
                            <w:pStyle w:val="Pieddepage"/>
                            <w:pBdr/>
                            <w:rPr/>
                          </w:pPr>
                          <w:r>
                            <w:rPr>
                              <w:rStyle w:val="Pagenumber"/>
                            </w:rPr>
                            <w:fldChar w:fldCharType="begin"/>
                          </w:r>
                          <w:r>
                            <w:instrText> PAGE </w:instrText>
                          </w:r>
                          <w:r>
                            <w:fldChar w:fldCharType="separate"/>
                          </w:r>
                          <w:r>
                            <w:t>5</w:t>
                          </w:r>
                          <w:r>
                            <w:fldChar w:fldCharType="end"/>
                          </w:r>
                        </w:p>
                      </w:txbxContent>
                    </v:textbox>
                    <w10:wrap type="topAndBottom"/>
                  </v:rect>
                </w:pict>
              </mc:Fallback>
            </mc:AlternateContent>
          </w:r>
        </w:p>
      </w:tc>
      <w:tc>
        <w:tcPr>
          <w:tcW w:w="4788" w:type="dxa"/>
          <w:tcBorders>
            <w:top w:val="nil"/>
            <w:left w:val="nil"/>
            <w:bottom w:val="nil"/>
            <w:right w:val="nil"/>
            <w:insideH w:val="nil"/>
            <w:insideV w:val="nil"/>
          </w:tcBorders>
          <w:shd w:fill="auto" w:val="clear"/>
        </w:tcPr>
        <w:p>
          <w:pPr>
            <w:pStyle w:val="Pieddepage"/>
            <w:spacing w:lineRule="auto" w:line="240" w:before="0" w:after="0"/>
            <w:jc w:val="right"/>
            <w:rPr>
              <w:sz w:val="18"/>
              <w:szCs w:val="18"/>
            </w:rPr>
          </w:pPr>
          <w:r>
            <w:rPr/>
            <w:drawing>
              <wp:inline distT="0" distB="0" distL="0" distR="0">
                <wp:extent cx="510540" cy="178435"/>
                <wp:effectExtent l="0" t="0" r="0" b="0"/>
                <wp:docPr id="4"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
                        <pic:cNvPicPr>
                          <a:picLocks noChangeAspect="1" noChangeArrowheads="1"/>
                        </pic:cNvPicPr>
                      </pic:nvPicPr>
                      <pic:blipFill>
                        <a:blip r:embed="rId1"/>
                        <a:stretch>
                          <a:fillRect/>
                        </a:stretch>
                      </pic:blipFill>
                      <pic:spPr bwMode="auto">
                        <a:xfrm>
                          <a:off x="0" y="0"/>
                          <a:ext cx="510540" cy="178435"/>
                        </a:xfrm>
                        <a:prstGeom prst="rect">
                          <a:avLst/>
                        </a:prstGeom>
                      </pic:spPr>
                    </pic:pic>
                  </a:graphicData>
                </a:graphic>
              </wp:inline>
            </w:drawing>
          </w:r>
        </w:p>
      </w:tc>
    </w:tr>
  </w:tbl>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rFonts w:ascii="Arial" w:hAnsi="Arial" w:cs="Arial"/>
        <w:sz w:val="18"/>
        <w:szCs w:val="18"/>
      </w:rPr>
    </w:pPr>
    <w:r>
      <w:rPr>
        <w:rFonts w:cs="Arial" w:ascii="Arial" w:hAnsi="Arial"/>
        <w:sz w:val="18"/>
        <w:szCs w:val="18"/>
        <w:lang w:val="fr-FR"/>
      </w:rPr>
      <w:t>Ressources OMM pour les formateurs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zh-TW"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Arial" w:asciiTheme="minorHAnsi" w:cstheme="minorBidi" w:eastAsiaTheme="minorEastAsia" w:hAnsiTheme="minorHAnsi"/>
        <w:sz w:val="22"/>
        <w:szCs w:val="22"/>
        <w:lang w:val="en-US" w:eastAsia="zh-TW"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Note Heading" w:semiHidden="0" w:unhideWhenUsed="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新細明體" w:cs="Arial" w:asciiTheme="minorHAnsi" w:cstheme="minorBidi" w:eastAsiaTheme="minorEastAsia" w:hAnsiTheme="minorHAnsi"/>
      <w:color w:val="auto"/>
      <w:sz w:val="22"/>
      <w:szCs w:val="22"/>
      <w:lang w:val="en-US" w:eastAsia="zh-TW" w:bidi="ar-SA"/>
    </w:rPr>
  </w:style>
  <w:style w:type="paragraph" w:styleId="Titre1">
    <w:name w:val="Heading 1"/>
    <w:basedOn w:val="Normal"/>
    <w:link w:val="Titre1Car"/>
    <w:uiPriority w:val="9"/>
    <w:qFormat/>
    <w:rsid w:val="00cb3c0f"/>
    <w:pPr>
      <w:spacing w:lineRule="auto" w:line="240" w:beforeAutospacing="1" w:afterAutospacing="1"/>
      <w:outlineLvl w:val="0"/>
    </w:pPr>
    <w:rPr>
      <w:rFonts w:ascii="Times New Roman" w:hAnsi="Times New Roman" w:eastAsia="Times New Roman" w:cs="Times New Roman"/>
      <w:b/>
      <w:bCs/>
      <w:sz w:val="48"/>
      <w:szCs w:val="48"/>
      <w:lang w:eastAsia="ru-RU"/>
    </w:rPr>
  </w:style>
  <w:style w:type="paragraph" w:styleId="Titre2">
    <w:name w:val="Heading 2"/>
    <w:basedOn w:val="Normal"/>
    <w:next w:val="Normal"/>
    <w:link w:val="Titre2Car"/>
    <w:uiPriority w:val="9"/>
    <w:semiHidden/>
    <w:unhideWhenUsed/>
    <w:qFormat/>
    <w:rsid w:val="00763ab1"/>
    <w:pPr>
      <w:keepNext/>
      <w:keepLines/>
      <w:spacing w:before="200" w:after="0"/>
      <w:outlineLvl w:val="1"/>
    </w:pPr>
    <w:rPr>
      <w:rFonts w:ascii="Cambria" w:hAnsi="Cambria" w:eastAsia="新細明體" w:cs="Times New Roman" w:asciiTheme="majorHAnsi" w:cstheme="majorBidi" w:eastAsiaTheme="majorEastAsia" w:hAnsiTheme="majorHAnsi"/>
      <w:b/>
      <w:bCs/>
      <w:color w:val="4F81BD" w:themeColor="accent1"/>
      <w:sz w:val="26"/>
      <w:szCs w:val="26"/>
    </w:rPr>
  </w:style>
  <w:style w:type="paragraph" w:styleId="Titre3">
    <w:name w:val="Heading 3"/>
    <w:basedOn w:val="Normal"/>
    <w:next w:val="Normal"/>
    <w:link w:val="Titre3Car"/>
    <w:uiPriority w:val="9"/>
    <w:semiHidden/>
    <w:unhideWhenUsed/>
    <w:qFormat/>
    <w:rsid w:val="00763ab1"/>
    <w:pPr>
      <w:keepNext/>
      <w:keepLines/>
      <w:spacing w:before="200" w:after="0"/>
      <w:outlineLvl w:val="2"/>
    </w:pPr>
    <w:rPr>
      <w:rFonts w:ascii="Cambria" w:hAnsi="Cambria" w:eastAsia="新細明體" w:cs="Times New Roman"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3b4b45"/>
    <w:rPr>
      <w:rFonts w:ascii="Tahoma" w:hAnsi="Tahoma" w:cs="Tahoma"/>
      <w:sz w:val="16"/>
      <w:szCs w:val="16"/>
    </w:rPr>
  </w:style>
  <w:style w:type="character" w:styleId="EntteCar" w:customStyle="1">
    <w:name w:val="En-tête Car"/>
    <w:basedOn w:val="DefaultParagraphFont"/>
    <w:link w:val="En-tte"/>
    <w:uiPriority w:val="99"/>
    <w:qFormat/>
    <w:rsid w:val="00497f21"/>
    <w:rPr/>
  </w:style>
  <w:style w:type="character" w:styleId="PieddepageCar" w:customStyle="1">
    <w:name w:val="Pied de page Car"/>
    <w:basedOn w:val="DefaultParagraphFont"/>
    <w:link w:val="Pieddepage"/>
    <w:uiPriority w:val="99"/>
    <w:qFormat/>
    <w:rsid w:val="00497f21"/>
    <w:rPr/>
  </w:style>
  <w:style w:type="character" w:styleId="LienInternet">
    <w:name w:val="Lien Internet"/>
    <w:basedOn w:val="DefaultParagraphFont"/>
    <w:uiPriority w:val="99"/>
    <w:unhideWhenUsed/>
    <w:rsid w:val="00da08ce"/>
    <w:rPr>
      <w:color w:val="0000FF" w:themeColor="hyperlink"/>
      <w:u w:val="single"/>
    </w:rPr>
  </w:style>
  <w:style w:type="character" w:styleId="Titre1Car" w:customStyle="1">
    <w:name w:val="Titre 1 Car"/>
    <w:basedOn w:val="DefaultParagraphFont"/>
    <w:link w:val="Titre1"/>
    <w:uiPriority w:val="9"/>
    <w:qFormat/>
    <w:rsid w:val="00cb3c0f"/>
    <w:rPr>
      <w:rFonts w:ascii="Times New Roman" w:hAnsi="Times New Roman" w:eastAsia="Times New Roman" w:cs="Times New Roman"/>
      <w:b/>
      <w:bCs/>
      <w:sz w:val="48"/>
      <w:szCs w:val="48"/>
      <w:lang w:eastAsia="ru-RU"/>
    </w:rPr>
  </w:style>
  <w:style w:type="character" w:styleId="Watchtitle" w:customStyle="1">
    <w:name w:val="watch-title"/>
    <w:basedOn w:val="DefaultParagraphFont"/>
    <w:qFormat/>
    <w:rsid w:val="00cb3c0f"/>
    <w:rPr/>
  </w:style>
  <w:style w:type="character" w:styleId="Titre2Car" w:customStyle="1">
    <w:name w:val="Titre 2 Car"/>
    <w:basedOn w:val="DefaultParagraphFont"/>
    <w:link w:val="Titre2"/>
    <w:uiPriority w:val="9"/>
    <w:semiHidden/>
    <w:qFormat/>
    <w:rsid w:val="00763ab1"/>
    <w:rPr>
      <w:rFonts w:ascii="Cambria" w:hAnsi="Cambria" w:eastAsia="新細明體" w:cs="Times New Roman" w:asciiTheme="majorHAnsi" w:cstheme="majorBidi" w:eastAsiaTheme="majorEastAsia" w:hAnsiTheme="majorHAnsi"/>
      <w:b/>
      <w:bCs/>
      <w:color w:val="4F81BD" w:themeColor="accent1"/>
      <w:sz w:val="26"/>
      <w:szCs w:val="26"/>
    </w:rPr>
  </w:style>
  <w:style w:type="character" w:styleId="Titre3Car" w:customStyle="1">
    <w:name w:val="Titre 3 Car"/>
    <w:basedOn w:val="DefaultParagraphFont"/>
    <w:link w:val="Titre3"/>
    <w:uiPriority w:val="9"/>
    <w:semiHidden/>
    <w:qFormat/>
    <w:rsid w:val="00763ab1"/>
    <w:rPr>
      <w:rFonts w:ascii="Cambria" w:hAnsi="Cambria" w:eastAsia="新細明體" w:cs="Times New Roman" w:asciiTheme="majorHAnsi" w:cstheme="majorBidi" w:eastAsiaTheme="majorEastAsia" w:hAnsiTheme="majorHAnsi"/>
      <w:b/>
      <w:bCs/>
      <w:color w:val="4F81BD" w:themeColor="accent1"/>
    </w:rPr>
  </w:style>
  <w:style w:type="character" w:styleId="Strong">
    <w:name w:val="Strong"/>
    <w:basedOn w:val="DefaultParagraphFont"/>
    <w:uiPriority w:val="22"/>
    <w:qFormat/>
    <w:rsid w:val="00763ab1"/>
    <w:rPr>
      <w:b/>
      <w:bCs/>
    </w:rPr>
  </w:style>
  <w:style w:type="character" w:styleId="Appleconvertedspace" w:customStyle="1">
    <w:name w:val="apple-converted-space"/>
    <w:basedOn w:val="DefaultParagraphFont"/>
    <w:qFormat/>
    <w:rsid w:val="00763ab1"/>
    <w:rPr/>
  </w:style>
  <w:style w:type="character" w:styleId="FollowedHyperlink">
    <w:name w:val="FollowedHyperlink"/>
    <w:basedOn w:val="DefaultParagraphFont"/>
    <w:uiPriority w:val="99"/>
    <w:semiHidden/>
    <w:unhideWhenUsed/>
    <w:qFormat/>
    <w:rsid w:val="0099367c"/>
    <w:rPr>
      <w:color w:val="800080" w:themeColor="followedHyperlink"/>
      <w:u w:val="single"/>
    </w:rPr>
  </w:style>
  <w:style w:type="character" w:styleId="Accentuation">
    <w:name w:val="Accentuation"/>
    <w:basedOn w:val="DefaultParagraphFont"/>
    <w:uiPriority w:val="20"/>
    <w:qFormat/>
    <w:rsid w:val="007e2bd1"/>
    <w:rPr>
      <w:i/>
      <w:iCs/>
    </w:rPr>
  </w:style>
  <w:style w:type="character" w:styleId="Pagenumber">
    <w:name w:val="page number"/>
    <w:basedOn w:val="DefaultParagraphFont"/>
    <w:uiPriority w:val="99"/>
    <w:semiHidden/>
    <w:unhideWhenUsed/>
    <w:qFormat/>
    <w:rsid w:val="00767110"/>
    <w:rPr/>
  </w:style>
  <w:style w:type="character" w:styleId="Annotationreference">
    <w:name w:val="annotation reference"/>
    <w:basedOn w:val="DefaultParagraphFont"/>
    <w:uiPriority w:val="99"/>
    <w:semiHidden/>
    <w:unhideWhenUsed/>
    <w:qFormat/>
    <w:rsid w:val="00935e58"/>
    <w:rPr>
      <w:sz w:val="18"/>
      <w:szCs w:val="18"/>
    </w:rPr>
  </w:style>
  <w:style w:type="character" w:styleId="CommentaireCar" w:customStyle="1">
    <w:name w:val="Commentaire Car"/>
    <w:basedOn w:val="DefaultParagraphFont"/>
    <w:link w:val="Commentaire"/>
    <w:uiPriority w:val="99"/>
    <w:semiHidden/>
    <w:qFormat/>
    <w:rsid w:val="00935e58"/>
    <w:rPr>
      <w:sz w:val="24"/>
      <w:szCs w:val="24"/>
    </w:rPr>
  </w:style>
  <w:style w:type="character" w:styleId="ObjetducommentaireCar" w:customStyle="1">
    <w:name w:val="Objet du commentaire Car"/>
    <w:basedOn w:val="CommentaireCar"/>
    <w:link w:val="Objetducommentaire"/>
    <w:uiPriority w:val="99"/>
    <w:semiHidden/>
    <w:qFormat/>
    <w:rsid w:val="00935e58"/>
    <w:rPr>
      <w:b/>
      <w:bCs/>
      <w:sz w:val="20"/>
      <w:szCs w:val="20"/>
    </w:rPr>
  </w:style>
  <w:style w:type="character" w:styleId="ListLabel1">
    <w:name w:val="ListLabel 1"/>
    <w:qFormat/>
    <w:rPr>
      <w:color w:val="00000A"/>
    </w:rPr>
  </w:style>
  <w:style w:type="character" w:styleId="ListLabel2">
    <w:name w:val="ListLabel 2"/>
    <w:qFormat/>
    <w:rPr>
      <w:b w:val="false"/>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paragraph" w:styleId="Titre">
    <w:name w:val="Titre"/>
    <w:basedOn w:val="Normal"/>
    <w:next w:val="Corpsdetexte"/>
    <w:qFormat/>
    <w:pPr>
      <w:keepNext/>
      <w:spacing w:before="240" w:after="120"/>
    </w:pPr>
    <w:rPr>
      <w:rFonts w:ascii="Liberation Sans" w:hAnsi="Liberation Sans" w:eastAsia="Lucida Sans Unicode" w:cs="Lohit Devanagari"/>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ascii="Liberation Sans" w:hAnsi="Liberation Sans" w:cs="Lohit Devanagari"/>
    </w:rPr>
  </w:style>
  <w:style w:type="paragraph" w:styleId="Lgende">
    <w:name w:val="Caption"/>
    <w:basedOn w:val="Normal"/>
    <w:qFormat/>
    <w:pPr>
      <w:suppressLineNumbers/>
      <w:spacing w:before="120" w:after="120"/>
    </w:pPr>
    <w:rPr>
      <w:rFonts w:ascii="Liberation Sans" w:hAnsi="Liberation Sans" w:cs="Lohit Devanagari"/>
      <w:i/>
      <w:iCs/>
      <w:sz w:val="18"/>
      <w:szCs w:val="24"/>
    </w:rPr>
  </w:style>
  <w:style w:type="paragraph" w:styleId="Index">
    <w:name w:val="Index"/>
    <w:basedOn w:val="Normal"/>
    <w:qFormat/>
    <w:pPr>
      <w:suppressLineNumbers/>
    </w:pPr>
    <w:rPr>
      <w:rFonts w:ascii="Liberation Sans" w:hAnsi="Liberation Sans" w:cs="Lohit Devanagari"/>
    </w:rPr>
  </w:style>
  <w:style w:type="paragraph" w:styleId="Default" w:customStyle="1">
    <w:name w:val="Default"/>
    <w:qFormat/>
    <w:rsid w:val="000f7c1c"/>
    <w:pPr>
      <w:widowControl/>
      <w:bidi w:val="0"/>
      <w:spacing w:lineRule="auto" w:line="240" w:before="0" w:after="0"/>
      <w:jc w:val="left"/>
    </w:pPr>
    <w:rPr>
      <w:rFonts w:ascii="Times New Roman" w:hAnsi="Times New Roman" w:cs="Times New Roman" w:eastAsia="新細明體"/>
      <w:color w:val="000000"/>
      <w:sz w:val="24"/>
      <w:szCs w:val="24"/>
      <w:lang w:val="en-US" w:eastAsia="zh-TW" w:bidi="ar-SA"/>
    </w:rPr>
  </w:style>
  <w:style w:type="paragraph" w:styleId="BalloonText">
    <w:name w:val="Balloon Text"/>
    <w:basedOn w:val="Normal"/>
    <w:link w:val="TextedebullesCar"/>
    <w:uiPriority w:val="99"/>
    <w:semiHidden/>
    <w:unhideWhenUsed/>
    <w:qFormat/>
    <w:rsid w:val="003b4b45"/>
    <w:pPr>
      <w:spacing w:lineRule="auto" w:line="240" w:before="0" w:after="0"/>
    </w:pPr>
    <w:rPr>
      <w:rFonts w:ascii="Tahoma" w:hAnsi="Tahoma" w:cs="Tahoma"/>
      <w:sz w:val="16"/>
      <w:szCs w:val="16"/>
    </w:rPr>
  </w:style>
  <w:style w:type="paragraph" w:styleId="Entte">
    <w:name w:val="Header"/>
    <w:basedOn w:val="Normal"/>
    <w:link w:val="En-tteCar"/>
    <w:uiPriority w:val="99"/>
    <w:unhideWhenUsed/>
    <w:rsid w:val="00497f21"/>
    <w:pPr>
      <w:tabs>
        <w:tab w:val="center" w:pos="4677" w:leader="none"/>
        <w:tab w:val="right" w:pos="9355" w:leader="none"/>
      </w:tabs>
      <w:spacing w:lineRule="auto" w:line="240" w:before="0" w:after="0"/>
    </w:pPr>
    <w:rPr/>
  </w:style>
  <w:style w:type="paragraph" w:styleId="Pieddepage">
    <w:name w:val="Footer"/>
    <w:basedOn w:val="Normal"/>
    <w:link w:val="PieddepageCar"/>
    <w:uiPriority w:val="99"/>
    <w:unhideWhenUsed/>
    <w:rsid w:val="00497f21"/>
    <w:pPr>
      <w:tabs>
        <w:tab w:val="center" w:pos="4677" w:leader="none"/>
        <w:tab w:val="right" w:pos="9355" w:leader="none"/>
      </w:tabs>
      <w:spacing w:lineRule="auto" w:line="240" w:before="0" w:after="0"/>
    </w:pPr>
    <w:rPr/>
  </w:style>
  <w:style w:type="paragraph" w:styleId="NormalWeb">
    <w:name w:val="Normal (Web)"/>
    <w:basedOn w:val="Normal"/>
    <w:uiPriority w:val="99"/>
    <w:unhideWhenUsed/>
    <w:qFormat/>
    <w:rsid w:val="004104f1"/>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cb3c0f"/>
    <w:pPr>
      <w:spacing w:before="0" w:after="200"/>
      <w:ind w:left="720" w:hanging="0"/>
      <w:contextualSpacing/>
    </w:pPr>
    <w:rPr/>
  </w:style>
  <w:style w:type="paragraph" w:styleId="Annotationtext">
    <w:name w:val="annotation text"/>
    <w:basedOn w:val="Normal"/>
    <w:link w:val="CommentaireCar"/>
    <w:uiPriority w:val="99"/>
    <w:semiHidden/>
    <w:unhideWhenUsed/>
    <w:qFormat/>
    <w:rsid w:val="00935e58"/>
    <w:pPr>
      <w:spacing w:lineRule="auto" w:line="240"/>
    </w:pPr>
    <w:rPr>
      <w:sz w:val="24"/>
      <w:szCs w:val="24"/>
    </w:rPr>
  </w:style>
  <w:style w:type="paragraph" w:styleId="Annotationsubject">
    <w:name w:val="annotation subject"/>
    <w:basedOn w:val="Annotationtext"/>
    <w:link w:val="ObjetducommentaireCar"/>
    <w:uiPriority w:val="99"/>
    <w:semiHidden/>
    <w:unhideWhenUsed/>
    <w:qFormat/>
    <w:rsid w:val="00935e58"/>
    <w:pPr/>
    <w:rPr>
      <w:b/>
      <w:bCs/>
      <w:sz w:val="20"/>
      <w:szCs w:val="20"/>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787ec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app.griffith.edu.au/assessment-matters//docs/design-assessment/principles" TargetMode="External"/><Relationship Id="rId4" Type="http://schemas.openxmlformats.org/officeDocument/2006/relationships/diagramData" Target="diagrams/data2.xml"/><Relationship Id="rId5" Type="http://schemas.openxmlformats.org/officeDocument/2006/relationships/diagramLayout" Target="diagrams/layout2.xml"/><Relationship Id="rId6" Type="http://schemas.openxmlformats.org/officeDocument/2006/relationships/diagramQuickStyle" Target="diagrams/quickStyle2.xml"/><Relationship Id="rId7" Type="http://schemas.openxmlformats.org/officeDocument/2006/relationships/diagramColors" Target="diagrams/colors2.xml"/><Relationship Id="rId8" Type="http://schemas.microsoft.com/office/2007/relationships/diagramDrawing" Target="diagrams/drawing2.xml"/><Relationship Id="rId9" Type="http://schemas.openxmlformats.org/officeDocument/2006/relationships/hyperlink" Target="http://rer.sagepub.com/content/77/1/81"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2.xml><?xml version="1.0" encoding="utf-8"?>
<dgm:dataModel xmlns:dgm="http://schemas.openxmlformats.org/drawingml/2006/diagram" xmlns:a="http://schemas.openxmlformats.org/drawingml/2006/main">
  <dgm:ptLst>
    <dgm:pt modelId="{04A2170C-1D33-4AD4-ABEE-318637BAE615}" type="doc">
      <dgm:prSet loTypeId="urn:microsoft.com/office/officeart/2005/8/layout/radial1#1" loCatId="relationship" qsTypeId="urn:microsoft.com/office/officeart/2005/8/quickstyle/simple1" qsCatId="simple" csTypeId="urn:microsoft.com/office/officeart/2005/8/colors/colorful4" csCatId="colorful" phldr="1"/>
      <dgm:spPr/>
      <dgm:t>
        <a:bodyPr/>
        <a:lstStyle/>
        <a:p>
          <a:endParaRPr lang="en-US"/>
        </a:p>
      </dgm:t>
    </dgm:pt>
    <dgm:pt modelId="{DEF65724-6D42-4D46-BDE2-DD587DE33BD2}">
      <dgm:prSet phldrT="[Text]"/>
      <dgm:spPr/>
      <dgm:t>
        <a:bodyPr/>
        <a:lstStyle/>
        <a:p>
          <a:pPr algn="ctr"/>
          <a:r>
            <a:rPr lang="en-US">
              <a:solidFill>
                <a:sysClr val="windowText" lastClr="000000"/>
              </a:solidFill>
            </a:rPr>
            <a:t>Bonne évaluation</a:t>
          </a:r>
        </a:p>
      </dgm:t>
    </dgm:pt>
    <dgm:pt modelId="{491DF8EE-CCCD-4166-B53C-197C6DF7A383}" type="parTrans" cxnId="{C2E5F4ED-D41A-4CC2-A9BD-5606E7A3062F}">
      <dgm:prSet/>
      <dgm:spPr/>
      <dgm:t>
        <a:bodyPr/>
        <a:lstStyle/>
        <a:p>
          <a:pPr algn="ctr"/>
          <a:endParaRPr lang="en-US"/>
        </a:p>
      </dgm:t>
    </dgm:pt>
    <dgm:pt modelId="{BDE6287B-2187-4697-8962-5D8541E124E6}" type="sibTrans" cxnId="{C2E5F4ED-D41A-4CC2-A9BD-5606E7A3062F}">
      <dgm:prSet/>
      <dgm:spPr/>
      <dgm:t>
        <a:bodyPr/>
        <a:lstStyle/>
        <a:p>
          <a:pPr algn="ctr"/>
          <a:endParaRPr lang="en-US"/>
        </a:p>
      </dgm:t>
    </dgm:pt>
    <dgm:pt modelId="{34E3B47A-6EBE-4A02-B568-5178A6911ABF}">
      <dgm:prSet phldrT="[Text]"/>
      <dgm:spPr/>
      <dgm:t>
        <a:bodyPr/>
        <a:lstStyle/>
        <a:p>
          <a:pPr algn="ctr"/>
          <a:r>
            <a:rPr lang="en-US"/>
            <a:t>Equitable</a:t>
          </a:r>
        </a:p>
      </dgm:t>
    </dgm:pt>
    <dgm:pt modelId="{A71310C4-DFF4-49F6-BC94-7E31B1195465}" type="parTrans" cxnId="{1B0679D1-C1FF-4201-9E1F-C410909CAB69}">
      <dgm:prSet/>
      <dgm:spPr/>
      <dgm:t>
        <a:bodyPr/>
        <a:lstStyle/>
        <a:p>
          <a:pPr algn="ctr"/>
          <a:endParaRPr lang="en-US"/>
        </a:p>
      </dgm:t>
    </dgm:pt>
    <dgm:pt modelId="{57A75403-E7CD-4C9A-A416-B1AC59DEA98B}" type="sibTrans" cxnId="{1B0679D1-C1FF-4201-9E1F-C410909CAB69}">
      <dgm:prSet/>
      <dgm:spPr/>
      <dgm:t>
        <a:bodyPr/>
        <a:lstStyle/>
        <a:p>
          <a:pPr algn="ctr"/>
          <a:endParaRPr lang="en-US"/>
        </a:p>
      </dgm:t>
    </dgm:pt>
    <dgm:pt modelId="{90E5880C-A6AB-4245-A841-A7E1F967FB3A}">
      <dgm:prSet phldrT="[Text]" custT="1"/>
      <dgm:spPr/>
      <dgm:t>
        <a:bodyPr/>
        <a:lstStyle/>
        <a:p>
          <a:pPr algn="ctr"/>
          <a:r>
            <a:rPr lang="en-US" sz="900"/>
            <a:t>Transpa-rente</a:t>
          </a:r>
        </a:p>
      </dgm:t>
    </dgm:pt>
    <dgm:pt modelId="{7A383BD8-D4C2-4325-974F-B77109B0A76B}" type="parTrans" cxnId="{00560EB2-3035-48EE-AE40-EB9A72E6A620}">
      <dgm:prSet/>
      <dgm:spPr/>
      <dgm:t>
        <a:bodyPr/>
        <a:lstStyle/>
        <a:p>
          <a:pPr algn="ctr"/>
          <a:endParaRPr lang="en-US"/>
        </a:p>
      </dgm:t>
    </dgm:pt>
    <dgm:pt modelId="{1B7ABCC3-2278-47C5-AD41-0677DCC47D09}" type="sibTrans" cxnId="{00560EB2-3035-48EE-AE40-EB9A72E6A620}">
      <dgm:prSet/>
      <dgm:spPr/>
      <dgm:t>
        <a:bodyPr/>
        <a:lstStyle/>
        <a:p>
          <a:pPr algn="ctr"/>
          <a:endParaRPr lang="en-US"/>
        </a:p>
      </dgm:t>
    </dgm:pt>
    <dgm:pt modelId="{AE4A1E6A-5E40-4A24-9F9D-9D9916089E9B}">
      <dgm:prSet phldrT="[Text]"/>
      <dgm:spPr/>
      <dgm:t>
        <a:bodyPr/>
        <a:lstStyle/>
        <a:p>
          <a:pPr algn="ctr"/>
          <a:r>
            <a:rPr lang="en-US"/>
            <a:t>Authentique</a:t>
          </a:r>
        </a:p>
      </dgm:t>
    </dgm:pt>
    <dgm:pt modelId="{4208B7E4-FF9F-4B80-96DB-8ACEDA97B9C4}" type="parTrans" cxnId="{FB858927-E564-417F-A504-0CAB5DA84A3E}">
      <dgm:prSet/>
      <dgm:spPr/>
      <dgm:t>
        <a:bodyPr/>
        <a:lstStyle/>
        <a:p>
          <a:pPr algn="ctr"/>
          <a:endParaRPr lang="en-US"/>
        </a:p>
      </dgm:t>
    </dgm:pt>
    <dgm:pt modelId="{156090FF-2D2E-4CDC-BEE3-96FA95F51DA4}" type="sibTrans" cxnId="{FB858927-E564-417F-A504-0CAB5DA84A3E}">
      <dgm:prSet/>
      <dgm:spPr/>
      <dgm:t>
        <a:bodyPr/>
        <a:lstStyle/>
        <a:p>
          <a:pPr algn="ctr"/>
          <a:endParaRPr lang="en-US"/>
        </a:p>
      </dgm:t>
    </dgm:pt>
    <dgm:pt modelId="{288CE8CD-ADFB-43B7-845D-BC927CA4AF4A}">
      <dgm:prSet phldrT="[Text]"/>
      <dgm:spPr/>
      <dgm:t>
        <a:bodyPr/>
        <a:lstStyle/>
        <a:p>
          <a:pPr algn="ctr"/>
          <a:r>
            <a:rPr lang="en-US"/>
            <a:t>Gérable</a:t>
          </a:r>
        </a:p>
      </dgm:t>
    </dgm:pt>
    <dgm:pt modelId="{A1E2B2CC-1675-416D-AE11-3742F2E017A3}" type="parTrans" cxnId="{65837C07-9CE1-4D89-8238-4F1D0D2E3F8B}">
      <dgm:prSet/>
      <dgm:spPr/>
      <dgm:t>
        <a:bodyPr/>
        <a:lstStyle/>
        <a:p>
          <a:pPr algn="ctr"/>
          <a:endParaRPr lang="en-US"/>
        </a:p>
      </dgm:t>
    </dgm:pt>
    <dgm:pt modelId="{4445353B-4CC9-4270-8628-4935F72ABF92}" type="sibTrans" cxnId="{65837C07-9CE1-4D89-8238-4F1D0D2E3F8B}">
      <dgm:prSet/>
      <dgm:spPr/>
      <dgm:t>
        <a:bodyPr/>
        <a:lstStyle/>
        <a:p>
          <a:pPr algn="ctr"/>
          <a:endParaRPr lang="en-US"/>
        </a:p>
      </dgm:t>
    </dgm:pt>
    <dgm:pt modelId="{5EA95618-2F5B-4DE9-999B-743CB385D734}">
      <dgm:prSet phldrT="[Text]"/>
      <dgm:spPr/>
      <dgm:t>
        <a:bodyPr/>
        <a:lstStyle/>
        <a:p>
          <a:pPr algn="ctr"/>
          <a:r>
            <a:rPr lang="en-US"/>
            <a:t>Appropriée</a:t>
          </a:r>
        </a:p>
      </dgm:t>
    </dgm:pt>
    <dgm:pt modelId="{971806AE-846E-4462-9435-91ABDDE3FE60}" type="parTrans" cxnId="{65DA457E-ACCF-4BE8-B32F-88CEFC0CF063}">
      <dgm:prSet/>
      <dgm:spPr/>
      <dgm:t>
        <a:bodyPr/>
        <a:lstStyle/>
        <a:p>
          <a:pPr algn="ctr"/>
          <a:endParaRPr lang="en-US"/>
        </a:p>
      </dgm:t>
    </dgm:pt>
    <dgm:pt modelId="{3AA5CB55-C77D-4221-83D8-F70CB9398E5B}" type="sibTrans" cxnId="{65DA457E-ACCF-4BE8-B32F-88CEFC0CF063}">
      <dgm:prSet/>
      <dgm:spPr/>
      <dgm:t>
        <a:bodyPr/>
        <a:lstStyle/>
        <a:p>
          <a:pPr algn="ctr"/>
          <a:endParaRPr lang="en-US"/>
        </a:p>
      </dgm:t>
    </dgm:pt>
    <dgm:pt modelId="{FB22A0A2-E572-417F-B9C4-77D17A391942}">
      <dgm:prSet phldrT="[Text]"/>
      <dgm:spPr/>
      <dgm:t>
        <a:bodyPr/>
        <a:lstStyle/>
        <a:p>
          <a:pPr algn="ctr"/>
          <a:r>
            <a:rPr lang="en-US"/>
            <a:t>Valide</a:t>
          </a:r>
        </a:p>
      </dgm:t>
    </dgm:pt>
    <dgm:pt modelId="{6FCD2769-5FF3-4C83-87F2-4F8CAD921EBB}" type="parTrans" cxnId="{7E358362-320E-447F-87BA-C9EBC1974665}">
      <dgm:prSet/>
      <dgm:spPr/>
      <dgm:t>
        <a:bodyPr/>
        <a:lstStyle/>
        <a:p>
          <a:pPr algn="ctr"/>
          <a:endParaRPr lang="en-US"/>
        </a:p>
      </dgm:t>
    </dgm:pt>
    <dgm:pt modelId="{265C5641-E4D5-4F7F-9CED-96580E1B2B76}" type="sibTrans" cxnId="{7E358362-320E-447F-87BA-C9EBC1974665}">
      <dgm:prSet/>
      <dgm:spPr/>
      <dgm:t>
        <a:bodyPr/>
        <a:lstStyle/>
        <a:p>
          <a:pPr algn="ctr"/>
          <a:endParaRPr lang="en-US"/>
        </a:p>
      </dgm:t>
    </dgm:pt>
    <dgm:pt modelId="{902398A0-0BFE-4A78-84DD-35CC04D92B8F}">
      <dgm:prSet phldrT="[Text]"/>
      <dgm:spPr/>
      <dgm:t>
        <a:bodyPr/>
        <a:lstStyle/>
        <a:p>
          <a:pPr algn="ctr"/>
          <a:r>
            <a:rPr lang="en-US"/>
            <a:t>Attirante</a:t>
          </a:r>
        </a:p>
      </dgm:t>
    </dgm:pt>
    <dgm:pt modelId="{CE430A6D-FD01-4328-953E-09A0F0706D99}" type="parTrans" cxnId="{A8B8897F-ACB5-4258-9E8D-E2594ADF7206}">
      <dgm:prSet/>
      <dgm:spPr/>
      <dgm:t>
        <a:bodyPr/>
        <a:lstStyle/>
        <a:p>
          <a:pPr algn="ctr"/>
          <a:endParaRPr lang="en-US"/>
        </a:p>
      </dgm:t>
    </dgm:pt>
    <dgm:pt modelId="{F894D03E-3243-49B7-A516-F9A2489D8A29}" type="sibTrans" cxnId="{A8B8897F-ACB5-4258-9E8D-E2594ADF7206}">
      <dgm:prSet/>
      <dgm:spPr/>
      <dgm:t>
        <a:bodyPr/>
        <a:lstStyle/>
        <a:p>
          <a:pPr algn="ctr"/>
          <a:endParaRPr lang="en-US"/>
        </a:p>
      </dgm:t>
    </dgm:pt>
    <dgm:pt modelId="{7B3E011D-6908-4CD7-BDDA-1A102A22F022}">
      <dgm:prSet phldrT="[Text]"/>
      <dgm:spPr/>
      <dgm:t>
        <a:bodyPr/>
        <a:lstStyle/>
        <a:p>
          <a:pPr algn="ctr"/>
          <a:r>
            <a:rPr lang="en-US"/>
            <a:t>Fiable</a:t>
          </a:r>
        </a:p>
      </dgm:t>
    </dgm:pt>
    <dgm:pt modelId="{CFF7E849-0EBF-4A4D-9D69-6C687BF0C45A}" type="parTrans" cxnId="{9AF7428D-E5A8-4022-BCAC-815E36A2A994}">
      <dgm:prSet/>
      <dgm:spPr/>
      <dgm:t>
        <a:bodyPr/>
        <a:lstStyle/>
        <a:p>
          <a:endParaRPr lang="en-US"/>
        </a:p>
      </dgm:t>
    </dgm:pt>
    <dgm:pt modelId="{69C340E7-2DDC-4FCA-95B6-61FC6AF98A76}" type="sibTrans" cxnId="{9AF7428D-E5A8-4022-BCAC-815E36A2A994}">
      <dgm:prSet/>
      <dgm:spPr/>
      <dgm:t>
        <a:bodyPr/>
        <a:lstStyle/>
        <a:p>
          <a:endParaRPr lang="en-US"/>
        </a:p>
      </dgm:t>
    </dgm:pt>
    <dgm:pt modelId="{973FB75C-1ED8-4E37-8E1B-EA62C029B7F4}" type="pres">
      <dgm:prSet presAssocID="{04A2170C-1D33-4AD4-ABEE-318637BAE615}" presName="cycle" presStyleCnt="0">
        <dgm:presLayoutVars>
          <dgm:chMax val="1"/>
          <dgm:dir/>
          <dgm:animLvl val="ctr"/>
          <dgm:resizeHandles val="exact"/>
        </dgm:presLayoutVars>
      </dgm:prSet>
      <dgm:spPr/>
      <dgm:t>
        <a:bodyPr/>
        <a:lstStyle/>
        <a:p>
          <a:endParaRPr lang="en-US"/>
        </a:p>
      </dgm:t>
    </dgm:pt>
    <dgm:pt modelId="{4393E6FE-5EB6-4700-961A-667619ED4CA9}" type="pres">
      <dgm:prSet presAssocID="{DEF65724-6D42-4D46-BDE2-DD587DE33BD2}" presName="centerShape" presStyleLbl="node0" presStyleIdx="0" presStyleCnt="1"/>
      <dgm:spPr/>
      <dgm:t>
        <a:bodyPr/>
        <a:lstStyle/>
        <a:p>
          <a:endParaRPr lang="en-US"/>
        </a:p>
      </dgm:t>
    </dgm:pt>
    <dgm:pt modelId="{BA2A64C7-63B2-4108-8619-EA1DC5D6193D}" type="pres">
      <dgm:prSet presAssocID="{A71310C4-DFF4-49F6-BC94-7E31B1195465}" presName="Name9" presStyleLbl="parChTrans1D2" presStyleIdx="0" presStyleCnt="8"/>
      <dgm:spPr/>
      <dgm:t>
        <a:bodyPr/>
        <a:lstStyle/>
        <a:p>
          <a:endParaRPr lang="en-US"/>
        </a:p>
      </dgm:t>
    </dgm:pt>
    <dgm:pt modelId="{66B31CAC-20A9-4679-861B-90380480785F}" type="pres">
      <dgm:prSet presAssocID="{A71310C4-DFF4-49F6-BC94-7E31B1195465}" presName="connTx" presStyleLbl="parChTrans1D2" presStyleIdx="0" presStyleCnt="8"/>
      <dgm:spPr/>
      <dgm:t>
        <a:bodyPr/>
        <a:lstStyle/>
        <a:p>
          <a:endParaRPr lang="en-US"/>
        </a:p>
      </dgm:t>
    </dgm:pt>
    <dgm:pt modelId="{444BC37E-F273-48DF-AD2E-78209F95BEBF}" type="pres">
      <dgm:prSet presAssocID="{34E3B47A-6EBE-4A02-B568-5178A6911ABF}" presName="node" presStyleLbl="node1" presStyleIdx="0" presStyleCnt="8">
        <dgm:presLayoutVars>
          <dgm:bulletEnabled val="1"/>
        </dgm:presLayoutVars>
      </dgm:prSet>
      <dgm:spPr/>
      <dgm:t>
        <a:bodyPr/>
        <a:lstStyle/>
        <a:p>
          <a:endParaRPr lang="en-US"/>
        </a:p>
      </dgm:t>
    </dgm:pt>
    <dgm:pt modelId="{7A677D7A-3E64-48E9-B39E-E9E41CE5B474}" type="pres">
      <dgm:prSet presAssocID="{971806AE-846E-4462-9435-91ABDDE3FE60}" presName="Name9" presStyleLbl="parChTrans1D2" presStyleIdx="1" presStyleCnt="8"/>
      <dgm:spPr/>
      <dgm:t>
        <a:bodyPr/>
        <a:lstStyle/>
        <a:p>
          <a:endParaRPr lang="en-US"/>
        </a:p>
      </dgm:t>
    </dgm:pt>
    <dgm:pt modelId="{B21084E4-38B5-4AF5-B43B-01F13F4F9460}" type="pres">
      <dgm:prSet presAssocID="{971806AE-846E-4462-9435-91ABDDE3FE60}" presName="connTx" presStyleLbl="parChTrans1D2" presStyleIdx="1" presStyleCnt="8"/>
      <dgm:spPr/>
      <dgm:t>
        <a:bodyPr/>
        <a:lstStyle/>
        <a:p>
          <a:endParaRPr lang="en-US"/>
        </a:p>
      </dgm:t>
    </dgm:pt>
    <dgm:pt modelId="{483334C8-C53C-41E8-9890-8A0296C6D10C}" type="pres">
      <dgm:prSet presAssocID="{5EA95618-2F5B-4DE9-999B-743CB385D734}" presName="node" presStyleLbl="node1" presStyleIdx="1" presStyleCnt="8">
        <dgm:presLayoutVars>
          <dgm:bulletEnabled val="1"/>
        </dgm:presLayoutVars>
      </dgm:prSet>
      <dgm:spPr/>
      <dgm:t>
        <a:bodyPr/>
        <a:lstStyle/>
        <a:p>
          <a:endParaRPr lang="en-US"/>
        </a:p>
      </dgm:t>
    </dgm:pt>
    <dgm:pt modelId="{202EB0A8-E96D-444D-8446-117FBCD1049B}" type="pres">
      <dgm:prSet presAssocID="{6FCD2769-5FF3-4C83-87F2-4F8CAD921EBB}" presName="Name9" presStyleLbl="parChTrans1D2" presStyleIdx="2" presStyleCnt="8"/>
      <dgm:spPr/>
      <dgm:t>
        <a:bodyPr/>
        <a:lstStyle/>
        <a:p>
          <a:endParaRPr lang="en-US"/>
        </a:p>
      </dgm:t>
    </dgm:pt>
    <dgm:pt modelId="{B9A4B34B-F995-4EAA-92D9-1A43605B9D8C}" type="pres">
      <dgm:prSet presAssocID="{6FCD2769-5FF3-4C83-87F2-4F8CAD921EBB}" presName="connTx" presStyleLbl="parChTrans1D2" presStyleIdx="2" presStyleCnt="8"/>
      <dgm:spPr/>
      <dgm:t>
        <a:bodyPr/>
        <a:lstStyle/>
        <a:p>
          <a:endParaRPr lang="en-US"/>
        </a:p>
      </dgm:t>
    </dgm:pt>
    <dgm:pt modelId="{8C4808A3-01E4-4114-976A-0FB3FBF72330}" type="pres">
      <dgm:prSet presAssocID="{FB22A0A2-E572-417F-B9C4-77D17A391942}" presName="node" presStyleLbl="node1" presStyleIdx="2" presStyleCnt="8">
        <dgm:presLayoutVars>
          <dgm:bulletEnabled val="1"/>
        </dgm:presLayoutVars>
      </dgm:prSet>
      <dgm:spPr/>
      <dgm:t>
        <a:bodyPr/>
        <a:lstStyle/>
        <a:p>
          <a:endParaRPr lang="en-US"/>
        </a:p>
      </dgm:t>
    </dgm:pt>
    <dgm:pt modelId="{65247FF6-BCC3-48E3-9084-16B84591E3EC}" type="pres">
      <dgm:prSet presAssocID="{CFF7E849-0EBF-4A4D-9D69-6C687BF0C45A}" presName="Name9" presStyleLbl="parChTrans1D2" presStyleIdx="3" presStyleCnt="8"/>
      <dgm:spPr/>
      <dgm:t>
        <a:bodyPr/>
        <a:lstStyle/>
        <a:p>
          <a:endParaRPr lang="en-US"/>
        </a:p>
      </dgm:t>
    </dgm:pt>
    <dgm:pt modelId="{D2F01DCD-95BF-45CD-8C4A-F6F7F9AB68A5}" type="pres">
      <dgm:prSet presAssocID="{CFF7E849-0EBF-4A4D-9D69-6C687BF0C45A}" presName="connTx" presStyleLbl="parChTrans1D2" presStyleIdx="3" presStyleCnt="8"/>
      <dgm:spPr/>
      <dgm:t>
        <a:bodyPr/>
        <a:lstStyle/>
        <a:p>
          <a:endParaRPr lang="en-US"/>
        </a:p>
      </dgm:t>
    </dgm:pt>
    <dgm:pt modelId="{43151753-B2E3-4E87-A37E-9F2D293F618B}" type="pres">
      <dgm:prSet presAssocID="{7B3E011D-6908-4CD7-BDDA-1A102A22F022}" presName="node" presStyleLbl="node1" presStyleIdx="3" presStyleCnt="8">
        <dgm:presLayoutVars>
          <dgm:bulletEnabled val="1"/>
        </dgm:presLayoutVars>
      </dgm:prSet>
      <dgm:spPr/>
      <dgm:t>
        <a:bodyPr/>
        <a:lstStyle/>
        <a:p>
          <a:endParaRPr lang="en-US"/>
        </a:p>
      </dgm:t>
    </dgm:pt>
    <dgm:pt modelId="{C2FD57B7-C527-4831-AC3A-3EC61FD32337}" type="pres">
      <dgm:prSet presAssocID="{7A383BD8-D4C2-4325-974F-B77109B0A76B}" presName="Name9" presStyleLbl="parChTrans1D2" presStyleIdx="4" presStyleCnt="8"/>
      <dgm:spPr/>
      <dgm:t>
        <a:bodyPr/>
        <a:lstStyle/>
        <a:p>
          <a:endParaRPr lang="en-US"/>
        </a:p>
      </dgm:t>
    </dgm:pt>
    <dgm:pt modelId="{6CDBDE79-2CE4-4B78-9514-BF70F2C3B3D7}" type="pres">
      <dgm:prSet presAssocID="{7A383BD8-D4C2-4325-974F-B77109B0A76B}" presName="connTx" presStyleLbl="parChTrans1D2" presStyleIdx="4" presStyleCnt="8"/>
      <dgm:spPr/>
      <dgm:t>
        <a:bodyPr/>
        <a:lstStyle/>
        <a:p>
          <a:endParaRPr lang="en-US"/>
        </a:p>
      </dgm:t>
    </dgm:pt>
    <dgm:pt modelId="{ED4005C1-B089-44D3-BDCB-177BAD908BDF}" type="pres">
      <dgm:prSet presAssocID="{90E5880C-A6AB-4245-A841-A7E1F967FB3A}" presName="node" presStyleLbl="node1" presStyleIdx="4" presStyleCnt="8">
        <dgm:presLayoutVars>
          <dgm:bulletEnabled val="1"/>
        </dgm:presLayoutVars>
      </dgm:prSet>
      <dgm:spPr/>
      <dgm:t>
        <a:bodyPr/>
        <a:lstStyle/>
        <a:p>
          <a:endParaRPr lang="en-US"/>
        </a:p>
      </dgm:t>
    </dgm:pt>
    <dgm:pt modelId="{35D12E3C-F40A-41AD-81A8-F8FF50B7F9D2}" type="pres">
      <dgm:prSet presAssocID="{4208B7E4-FF9F-4B80-96DB-8ACEDA97B9C4}" presName="Name9" presStyleLbl="parChTrans1D2" presStyleIdx="5" presStyleCnt="8"/>
      <dgm:spPr/>
      <dgm:t>
        <a:bodyPr/>
        <a:lstStyle/>
        <a:p>
          <a:endParaRPr lang="en-US"/>
        </a:p>
      </dgm:t>
    </dgm:pt>
    <dgm:pt modelId="{32A0F051-1787-4993-AF0C-4956D80C41AE}" type="pres">
      <dgm:prSet presAssocID="{4208B7E4-FF9F-4B80-96DB-8ACEDA97B9C4}" presName="connTx" presStyleLbl="parChTrans1D2" presStyleIdx="5" presStyleCnt="8"/>
      <dgm:spPr/>
      <dgm:t>
        <a:bodyPr/>
        <a:lstStyle/>
        <a:p>
          <a:endParaRPr lang="en-US"/>
        </a:p>
      </dgm:t>
    </dgm:pt>
    <dgm:pt modelId="{49714A1C-85C8-4B4C-8655-B3D8E9C95815}" type="pres">
      <dgm:prSet presAssocID="{AE4A1E6A-5E40-4A24-9F9D-9D9916089E9B}" presName="node" presStyleLbl="node1" presStyleIdx="5" presStyleCnt="8">
        <dgm:presLayoutVars>
          <dgm:bulletEnabled val="1"/>
        </dgm:presLayoutVars>
      </dgm:prSet>
      <dgm:spPr/>
      <dgm:t>
        <a:bodyPr/>
        <a:lstStyle/>
        <a:p>
          <a:endParaRPr lang="en-US"/>
        </a:p>
      </dgm:t>
    </dgm:pt>
    <dgm:pt modelId="{924CAC8F-C1E3-4ECB-AFF3-ED958ED9DA34}" type="pres">
      <dgm:prSet presAssocID="{A1E2B2CC-1675-416D-AE11-3742F2E017A3}" presName="Name9" presStyleLbl="parChTrans1D2" presStyleIdx="6" presStyleCnt="8"/>
      <dgm:spPr/>
      <dgm:t>
        <a:bodyPr/>
        <a:lstStyle/>
        <a:p>
          <a:endParaRPr lang="en-US"/>
        </a:p>
      </dgm:t>
    </dgm:pt>
    <dgm:pt modelId="{D2D027F6-AD28-49A8-944E-E93873BC7CC7}" type="pres">
      <dgm:prSet presAssocID="{A1E2B2CC-1675-416D-AE11-3742F2E017A3}" presName="connTx" presStyleLbl="parChTrans1D2" presStyleIdx="6" presStyleCnt="8"/>
      <dgm:spPr/>
      <dgm:t>
        <a:bodyPr/>
        <a:lstStyle/>
        <a:p>
          <a:endParaRPr lang="en-US"/>
        </a:p>
      </dgm:t>
    </dgm:pt>
    <dgm:pt modelId="{31ABB4E1-7565-4413-8739-2E510235E841}" type="pres">
      <dgm:prSet presAssocID="{288CE8CD-ADFB-43B7-845D-BC927CA4AF4A}" presName="node" presStyleLbl="node1" presStyleIdx="6" presStyleCnt="8">
        <dgm:presLayoutVars>
          <dgm:bulletEnabled val="1"/>
        </dgm:presLayoutVars>
      </dgm:prSet>
      <dgm:spPr/>
      <dgm:t>
        <a:bodyPr/>
        <a:lstStyle/>
        <a:p>
          <a:endParaRPr lang="en-US"/>
        </a:p>
      </dgm:t>
    </dgm:pt>
    <dgm:pt modelId="{64457CEE-C1AF-4ED8-B69D-F248AC3C7819}" type="pres">
      <dgm:prSet presAssocID="{CE430A6D-FD01-4328-953E-09A0F0706D99}" presName="Name9" presStyleLbl="parChTrans1D2" presStyleIdx="7" presStyleCnt="8"/>
      <dgm:spPr/>
      <dgm:t>
        <a:bodyPr/>
        <a:lstStyle/>
        <a:p>
          <a:endParaRPr lang="en-US"/>
        </a:p>
      </dgm:t>
    </dgm:pt>
    <dgm:pt modelId="{87BA143A-061B-4ACA-A0B2-CD82C8C0D4E9}" type="pres">
      <dgm:prSet presAssocID="{CE430A6D-FD01-4328-953E-09A0F0706D99}" presName="connTx" presStyleLbl="parChTrans1D2" presStyleIdx="7" presStyleCnt="8"/>
      <dgm:spPr/>
      <dgm:t>
        <a:bodyPr/>
        <a:lstStyle/>
        <a:p>
          <a:endParaRPr lang="en-US"/>
        </a:p>
      </dgm:t>
    </dgm:pt>
    <dgm:pt modelId="{DCA11150-061D-49AC-8859-5B829212D50E}" type="pres">
      <dgm:prSet presAssocID="{902398A0-0BFE-4A78-84DD-35CC04D92B8F}" presName="node" presStyleLbl="node1" presStyleIdx="7" presStyleCnt="8">
        <dgm:presLayoutVars>
          <dgm:bulletEnabled val="1"/>
        </dgm:presLayoutVars>
      </dgm:prSet>
      <dgm:spPr/>
      <dgm:t>
        <a:bodyPr/>
        <a:lstStyle/>
        <a:p>
          <a:endParaRPr lang="en-US"/>
        </a:p>
      </dgm:t>
    </dgm:pt>
  </dgm:ptLst>
  <dgm:cxnLst>
    <dgm:cxn modelId="{119F183D-F87A-470F-85FB-A0275BA7A307}" type="presOf" srcId="{A1E2B2CC-1675-416D-AE11-3742F2E017A3}" destId="{D2D027F6-AD28-49A8-944E-E93873BC7CC7}" srcOrd="1" destOrd="0" presId="urn:microsoft.com/office/officeart/2005/8/layout/radial1#1"/>
    <dgm:cxn modelId="{069D9484-DD14-460D-B48C-1F4804DB8374}" type="presOf" srcId="{902398A0-0BFE-4A78-84DD-35CC04D92B8F}" destId="{DCA11150-061D-49AC-8859-5B829212D50E}" srcOrd="0" destOrd="0" presId="urn:microsoft.com/office/officeart/2005/8/layout/radial1#1"/>
    <dgm:cxn modelId="{6DDE7DD1-D071-4D60-B935-D22FB133D7F9}" type="presOf" srcId="{288CE8CD-ADFB-43B7-845D-BC927CA4AF4A}" destId="{31ABB4E1-7565-4413-8739-2E510235E841}" srcOrd="0" destOrd="0" presId="urn:microsoft.com/office/officeart/2005/8/layout/radial1#1"/>
    <dgm:cxn modelId="{980F0295-7EB6-4982-8D6B-833C455E76F2}" type="presOf" srcId="{A1E2B2CC-1675-416D-AE11-3742F2E017A3}" destId="{924CAC8F-C1E3-4ECB-AFF3-ED958ED9DA34}" srcOrd="0" destOrd="0" presId="urn:microsoft.com/office/officeart/2005/8/layout/radial1#1"/>
    <dgm:cxn modelId="{CE1C0E9B-7F1B-4894-A4AA-63E237E7C8DF}" type="presOf" srcId="{6FCD2769-5FF3-4C83-87F2-4F8CAD921EBB}" destId="{B9A4B34B-F995-4EAA-92D9-1A43605B9D8C}" srcOrd="1" destOrd="0" presId="urn:microsoft.com/office/officeart/2005/8/layout/radial1#1"/>
    <dgm:cxn modelId="{FB858927-E564-417F-A504-0CAB5DA84A3E}" srcId="{DEF65724-6D42-4D46-BDE2-DD587DE33BD2}" destId="{AE4A1E6A-5E40-4A24-9F9D-9D9916089E9B}" srcOrd="5" destOrd="0" parTransId="{4208B7E4-FF9F-4B80-96DB-8ACEDA97B9C4}" sibTransId="{156090FF-2D2E-4CDC-BEE3-96FA95F51DA4}"/>
    <dgm:cxn modelId="{9AF7428D-E5A8-4022-BCAC-815E36A2A994}" srcId="{DEF65724-6D42-4D46-BDE2-DD587DE33BD2}" destId="{7B3E011D-6908-4CD7-BDDA-1A102A22F022}" srcOrd="3" destOrd="0" parTransId="{CFF7E849-0EBF-4A4D-9D69-6C687BF0C45A}" sibTransId="{69C340E7-2DDC-4FCA-95B6-61FC6AF98A76}"/>
    <dgm:cxn modelId="{34D318EB-9C18-4CEB-9107-7E5534900CA1}" type="presOf" srcId="{7A383BD8-D4C2-4325-974F-B77109B0A76B}" destId="{6CDBDE79-2CE4-4B78-9514-BF70F2C3B3D7}" srcOrd="1" destOrd="0" presId="urn:microsoft.com/office/officeart/2005/8/layout/radial1#1"/>
    <dgm:cxn modelId="{65837C07-9CE1-4D89-8238-4F1D0D2E3F8B}" srcId="{DEF65724-6D42-4D46-BDE2-DD587DE33BD2}" destId="{288CE8CD-ADFB-43B7-845D-BC927CA4AF4A}" srcOrd="6" destOrd="0" parTransId="{A1E2B2CC-1675-416D-AE11-3742F2E017A3}" sibTransId="{4445353B-4CC9-4270-8628-4935F72ABF92}"/>
    <dgm:cxn modelId="{C2E5F4ED-D41A-4CC2-A9BD-5606E7A3062F}" srcId="{04A2170C-1D33-4AD4-ABEE-318637BAE615}" destId="{DEF65724-6D42-4D46-BDE2-DD587DE33BD2}" srcOrd="0" destOrd="0" parTransId="{491DF8EE-CCCD-4166-B53C-197C6DF7A383}" sibTransId="{BDE6287B-2187-4697-8962-5D8541E124E6}"/>
    <dgm:cxn modelId="{65DA457E-ACCF-4BE8-B32F-88CEFC0CF063}" srcId="{DEF65724-6D42-4D46-BDE2-DD587DE33BD2}" destId="{5EA95618-2F5B-4DE9-999B-743CB385D734}" srcOrd="1" destOrd="0" parTransId="{971806AE-846E-4462-9435-91ABDDE3FE60}" sibTransId="{3AA5CB55-C77D-4221-83D8-F70CB9398E5B}"/>
    <dgm:cxn modelId="{607C550E-563D-47EA-9145-DA9E4CDB895F}" type="presOf" srcId="{A71310C4-DFF4-49F6-BC94-7E31B1195465}" destId="{BA2A64C7-63B2-4108-8619-EA1DC5D6193D}" srcOrd="0" destOrd="0" presId="urn:microsoft.com/office/officeart/2005/8/layout/radial1#1"/>
    <dgm:cxn modelId="{E1B6BDA9-77C1-40AC-8678-317FD40C98D9}" type="presOf" srcId="{4208B7E4-FF9F-4B80-96DB-8ACEDA97B9C4}" destId="{32A0F051-1787-4993-AF0C-4956D80C41AE}" srcOrd="1" destOrd="0" presId="urn:microsoft.com/office/officeart/2005/8/layout/radial1#1"/>
    <dgm:cxn modelId="{4030AADB-5652-403A-B327-15BB6ADBF23E}" type="presOf" srcId="{7B3E011D-6908-4CD7-BDDA-1A102A22F022}" destId="{43151753-B2E3-4E87-A37E-9F2D293F618B}" srcOrd="0" destOrd="0" presId="urn:microsoft.com/office/officeart/2005/8/layout/radial1#1"/>
    <dgm:cxn modelId="{604900CA-9F1D-4BBD-8F96-8E11A2E8705A}" type="presOf" srcId="{DEF65724-6D42-4D46-BDE2-DD587DE33BD2}" destId="{4393E6FE-5EB6-4700-961A-667619ED4CA9}" srcOrd="0" destOrd="0" presId="urn:microsoft.com/office/officeart/2005/8/layout/radial1#1"/>
    <dgm:cxn modelId="{83F3EED6-A4D7-4EFC-AEF3-3CFCB3F2A67C}" type="presOf" srcId="{7A383BD8-D4C2-4325-974F-B77109B0A76B}" destId="{C2FD57B7-C527-4831-AC3A-3EC61FD32337}" srcOrd="0" destOrd="0" presId="urn:microsoft.com/office/officeart/2005/8/layout/radial1#1"/>
    <dgm:cxn modelId="{A43F63CA-46D3-435B-8E26-1797AD2F5D48}" type="presOf" srcId="{6FCD2769-5FF3-4C83-87F2-4F8CAD921EBB}" destId="{202EB0A8-E96D-444D-8446-117FBCD1049B}" srcOrd="0" destOrd="0" presId="urn:microsoft.com/office/officeart/2005/8/layout/radial1#1"/>
    <dgm:cxn modelId="{31C3A81F-B792-4F2A-B872-D95F3A52CB8D}" type="presOf" srcId="{5EA95618-2F5B-4DE9-999B-743CB385D734}" destId="{483334C8-C53C-41E8-9890-8A0296C6D10C}" srcOrd="0" destOrd="0" presId="urn:microsoft.com/office/officeart/2005/8/layout/radial1#1"/>
    <dgm:cxn modelId="{43E15843-0C01-4B1C-A3DC-C2E83B7DD147}" type="presOf" srcId="{CE430A6D-FD01-4328-953E-09A0F0706D99}" destId="{87BA143A-061B-4ACA-A0B2-CD82C8C0D4E9}" srcOrd="1" destOrd="0" presId="urn:microsoft.com/office/officeart/2005/8/layout/radial1#1"/>
    <dgm:cxn modelId="{1B0679D1-C1FF-4201-9E1F-C410909CAB69}" srcId="{DEF65724-6D42-4D46-BDE2-DD587DE33BD2}" destId="{34E3B47A-6EBE-4A02-B568-5178A6911ABF}" srcOrd="0" destOrd="0" parTransId="{A71310C4-DFF4-49F6-BC94-7E31B1195465}" sibTransId="{57A75403-E7CD-4C9A-A416-B1AC59DEA98B}"/>
    <dgm:cxn modelId="{A30EFD29-4510-41B1-9FEF-2EB571721991}" type="presOf" srcId="{971806AE-846E-4462-9435-91ABDDE3FE60}" destId="{7A677D7A-3E64-48E9-B39E-E9E41CE5B474}" srcOrd="0" destOrd="0" presId="urn:microsoft.com/office/officeart/2005/8/layout/radial1#1"/>
    <dgm:cxn modelId="{7ABE94A1-9D8C-4162-8318-E42863470DBC}" type="presOf" srcId="{90E5880C-A6AB-4245-A841-A7E1F967FB3A}" destId="{ED4005C1-B089-44D3-BDCB-177BAD908BDF}" srcOrd="0" destOrd="0" presId="urn:microsoft.com/office/officeart/2005/8/layout/radial1#1"/>
    <dgm:cxn modelId="{00560EB2-3035-48EE-AE40-EB9A72E6A620}" srcId="{DEF65724-6D42-4D46-BDE2-DD587DE33BD2}" destId="{90E5880C-A6AB-4245-A841-A7E1F967FB3A}" srcOrd="4" destOrd="0" parTransId="{7A383BD8-D4C2-4325-974F-B77109B0A76B}" sibTransId="{1B7ABCC3-2278-47C5-AD41-0677DCC47D09}"/>
    <dgm:cxn modelId="{75821113-B9FA-405C-B511-263F835C83FD}" type="presOf" srcId="{FB22A0A2-E572-417F-B9C4-77D17A391942}" destId="{8C4808A3-01E4-4114-976A-0FB3FBF72330}" srcOrd="0" destOrd="0" presId="urn:microsoft.com/office/officeart/2005/8/layout/radial1#1"/>
    <dgm:cxn modelId="{B9BDBA41-F031-49EF-BFD2-9041ED4E004E}" type="presOf" srcId="{04A2170C-1D33-4AD4-ABEE-318637BAE615}" destId="{973FB75C-1ED8-4E37-8E1B-EA62C029B7F4}" srcOrd="0" destOrd="0" presId="urn:microsoft.com/office/officeart/2005/8/layout/radial1#1"/>
    <dgm:cxn modelId="{F4755F44-BBB1-4644-8B25-4B53AB5F8B25}" type="presOf" srcId="{971806AE-846E-4462-9435-91ABDDE3FE60}" destId="{B21084E4-38B5-4AF5-B43B-01F13F4F9460}" srcOrd="1" destOrd="0" presId="urn:microsoft.com/office/officeart/2005/8/layout/radial1#1"/>
    <dgm:cxn modelId="{A8B8897F-ACB5-4258-9E8D-E2594ADF7206}" srcId="{DEF65724-6D42-4D46-BDE2-DD587DE33BD2}" destId="{902398A0-0BFE-4A78-84DD-35CC04D92B8F}" srcOrd="7" destOrd="0" parTransId="{CE430A6D-FD01-4328-953E-09A0F0706D99}" sibTransId="{F894D03E-3243-49B7-A516-F9A2489D8A29}"/>
    <dgm:cxn modelId="{21EA85F1-B8D4-4FD4-AB90-E67534B9B57C}" type="presOf" srcId="{4208B7E4-FF9F-4B80-96DB-8ACEDA97B9C4}" destId="{35D12E3C-F40A-41AD-81A8-F8FF50B7F9D2}" srcOrd="0" destOrd="0" presId="urn:microsoft.com/office/officeart/2005/8/layout/radial1#1"/>
    <dgm:cxn modelId="{0A1CBE1B-4480-4416-A27B-98CD7EF876D1}" type="presOf" srcId="{AE4A1E6A-5E40-4A24-9F9D-9D9916089E9B}" destId="{49714A1C-85C8-4B4C-8655-B3D8E9C95815}" srcOrd="0" destOrd="0" presId="urn:microsoft.com/office/officeart/2005/8/layout/radial1#1"/>
    <dgm:cxn modelId="{B0080194-BA03-4A59-9934-75CF09B5BA85}" type="presOf" srcId="{CE430A6D-FD01-4328-953E-09A0F0706D99}" destId="{64457CEE-C1AF-4ED8-B69D-F248AC3C7819}" srcOrd="0" destOrd="0" presId="urn:microsoft.com/office/officeart/2005/8/layout/radial1#1"/>
    <dgm:cxn modelId="{7C5F14AE-CF9B-41FE-9295-B135ED479FF5}" type="presOf" srcId="{CFF7E849-0EBF-4A4D-9D69-6C687BF0C45A}" destId="{65247FF6-BCC3-48E3-9084-16B84591E3EC}" srcOrd="0" destOrd="0" presId="urn:microsoft.com/office/officeart/2005/8/layout/radial1#1"/>
    <dgm:cxn modelId="{8E080E4C-DA3F-41F1-A058-75C380DCD2A0}" type="presOf" srcId="{A71310C4-DFF4-49F6-BC94-7E31B1195465}" destId="{66B31CAC-20A9-4679-861B-90380480785F}" srcOrd="1" destOrd="0" presId="urn:microsoft.com/office/officeart/2005/8/layout/radial1#1"/>
    <dgm:cxn modelId="{7E358362-320E-447F-87BA-C9EBC1974665}" srcId="{DEF65724-6D42-4D46-BDE2-DD587DE33BD2}" destId="{FB22A0A2-E572-417F-B9C4-77D17A391942}" srcOrd="2" destOrd="0" parTransId="{6FCD2769-5FF3-4C83-87F2-4F8CAD921EBB}" sibTransId="{265C5641-E4D5-4F7F-9CED-96580E1B2B76}"/>
    <dgm:cxn modelId="{29A6048C-8C67-4EAC-9C82-C28BF6332F42}" type="presOf" srcId="{CFF7E849-0EBF-4A4D-9D69-6C687BF0C45A}" destId="{D2F01DCD-95BF-45CD-8C4A-F6F7F9AB68A5}" srcOrd="1" destOrd="0" presId="urn:microsoft.com/office/officeart/2005/8/layout/radial1#1"/>
    <dgm:cxn modelId="{3352D583-EA0E-405C-A96D-825BDF9E3022}" type="presOf" srcId="{34E3B47A-6EBE-4A02-B568-5178A6911ABF}" destId="{444BC37E-F273-48DF-AD2E-78209F95BEBF}" srcOrd="0" destOrd="0" presId="urn:microsoft.com/office/officeart/2005/8/layout/radial1#1"/>
    <dgm:cxn modelId="{A3ED75A9-33AB-44E5-B80C-AD7EB25380B9}" type="presParOf" srcId="{973FB75C-1ED8-4E37-8E1B-EA62C029B7F4}" destId="{4393E6FE-5EB6-4700-961A-667619ED4CA9}" srcOrd="0" destOrd="0" presId="urn:microsoft.com/office/officeart/2005/8/layout/radial1#1"/>
    <dgm:cxn modelId="{67DD8AA9-9694-4FF7-A54D-296F3E8C317C}" type="presParOf" srcId="{973FB75C-1ED8-4E37-8E1B-EA62C029B7F4}" destId="{BA2A64C7-63B2-4108-8619-EA1DC5D6193D}" srcOrd="1" destOrd="0" presId="urn:microsoft.com/office/officeart/2005/8/layout/radial1#1"/>
    <dgm:cxn modelId="{25229902-DA96-4A1F-9602-168D31CE5E88}" type="presParOf" srcId="{BA2A64C7-63B2-4108-8619-EA1DC5D6193D}" destId="{66B31CAC-20A9-4679-861B-90380480785F}" srcOrd="0" destOrd="0" presId="urn:microsoft.com/office/officeart/2005/8/layout/radial1#1"/>
    <dgm:cxn modelId="{F3652AB0-B6E3-4DF1-BF53-CBB43BC61955}" type="presParOf" srcId="{973FB75C-1ED8-4E37-8E1B-EA62C029B7F4}" destId="{444BC37E-F273-48DF-AD2E-78209F95BEBF}" srcOrd="2" destOrd="0" presId="urn:microsoft.com/office/officeart/2005/8/layout/radial1#1"/>
    <dgm:cxn modelId="{9267C6D9-F4AF-4F50-9160-049C1CE46229}" type="presParOf" srcId="{973FB75C-1ED8-4E37-8E1B-EA62C029B7F4}" destId="{7A677D7A-3E64-48E9-B39E-E9E41CE5B474}" srcOrd="3" destOrd="0" presId="urn:microsoft.com/office/officeart/2005/8/layout/radial1#1"/>
    <dgm:cxn modelId="{935B856A-8A4D-4B7A-8663-B4B21F3A520B}" type="presParOf" srcId="{7A677D7A-3E64-48E9-B39E-E9E41CE5B474}" destId="{B21084E4-38B5-4AF5-B43B-01F13F4F9460}" srcOrd="0" destOrd="0" presId="urn:microsoft.com/office/officeart/2005/8/layout/radial1#1"/>
    <dgm:cxn modelId="{EA3A5328-991F-4443-858D-BCDE15C17CB9}" type="presParOf" srcId="{973FB75C-1ED8-4E37-8E1B-EA62C029B7F4}" destId="{483334C8-C53C-41E8-9890-8A0296C6D10C}" srcOrd="4" destOrd="0" presId="urn:microsoft.com/office/officeart/2005/8/layout/radial1#1"/>
    <dgm:cxn modelId="{9455D5EE-38F2-4D00-9573-999FA9110456}" type="presParOf" srcId="{973FB75C-1ED8-4E37-8E1B-EA62C029B7F4}" destId="{202EB0A8-E96D-444D-8446-117FBCD1049B}" srcOrd="5" destOrd="0" presId="urn:microsoft.com/office/officeart/2005/8/layout/radial1#1"/>
    <dgm:cxn modelId="{0DFD0659-2EBD-4371-9B8D-D9041C1ABB41}" type="presParOf" srcId="{202EB0A8-E96D-444D-8446-117FBCD1049B}" destId="{B9A4B34B-F995-4EAA-92D9-1A43605B9D8C}" srcOrd="0" destOrd="0" presId="urn:microsoft.com/office/officeart/2005/8/layout/radial1#1"/>
    <dgm:cxn modelId="{5A9BE543-4C3F-44B3-B4A2-20FEA8456FBC}" type="presParOf" srcId="{973FB75C-1ED8-4E37-8E1B-EA62C029B7F4}" destId="{8C4808A3-01E4-4114-976A-0FB3FBF72330}" srcOrd="6" destOrd="0" presId="urn:microsoft.com/office/officeart/2005/8/layout/radial1#1"/>
    <dgm:cxn modelId="{679A3578-B0EB-4762-B3E0-03F0795AEBBB}" type="presParOf" srcId="{973FB75C-1ED8-4E37-8E1B-EA62C029B7F4}" destId="{65247FF6-BCC3-48E3-9084-16B84591E3EC}" srcOrd="7" destOrd="0" presId="urn:microsoft.com/office/officeart/2005/8/layout/radial1#1"/>
    <dgm:cxn modelId="{04AD217F-5319-41D1-B667-3917047CD38F}" type="presParOf" srcId="{65247FF6-BCC3-48E3-9084-16B84591E3EC}" destId="{D2F01DCD-95BF-45CD-8C4A-F6F7F9AB68A5}" srcOrd="0" destOrd="0" presId="urn:microsoft.com/office/officeart/2005/8/layout/radial1#1"/>
    <dgm:cxn modelId="{43C5A65D-E3F8-4711-9B9C-467360DE7F9F}" type="presParOf" srcId="{973FB75C-1ED8-4E37-8E1B-EA62C029B7F4}" destId="{43151753-B2E3-4E87-A37E-9F2D293F618B}" srcOrd="8" destOrd="0" presId="urn:microsoft.com/office/officeart/2005/8/layout/radial1#1"/>
    <dgm:cxn modelId="{E6251BA9-075A-4153-9E8E-BE5CF41D95B3}" type="presParOf" srcId="{973FB75C-1ED8-4E37-8E1B-EA62C029B7F4}" destId="{C2FD57B7-C527-4831-AC3A-3EC61FD32337}" srcOrd="9" destOrd="0" presId="urn:microsoft.com/office/officeart/2005/8/layout/radial1#1"/>
    <dgm:cxn modelId="{E28120EA-E780-414E-B692-818216FE7A12}" type="presParOf" srcId="{C2FD57B7-C527-4831-AC3A-3EC61FD32337}" destId="{6CDBDE79-2CE4-4B78-9514-BF70F2C3B3D7}" srcOrd="0" destOrd="0" presId="urn:microsoft.com/office/officeart/2005/8/layout/radial1#1"/>
    <dgm:cxn modelId="{4F1083DD-74F7-43B5-9F04-5B3A04EB33AB}" type="presParOf" srcId="{973FB75C-1ED8-4E37-8E1B-EA62C029B7F4}" destId="{ED4005C1-B089-44D3-BDCB-177BAD908BDF}" srcOrd="10" destOrd="0" presId="urn:microsoft.com/office/officeart/2005/8/layout/radial1#1"/>
    <dgm:cxn modelId="{F5D86E98-3A44-4298-9B55-70AF348E7BA4}" type="presParOf" srcId="{973FB75C-1ED8-4E37-8E1B-EA62C029B7F4}" destId="{35D12E3C-F40A-41AD-81A8-F8FF50B7F9D2}" srcOrd="11" destOrd="0" presId="urn:microsoft.com/office/officeart/2005/8/layout/radial1#1"/>
    <dgm:cxn modelId="{5DC0A859-C490-46F1-8455-0735F6D5D28C}" type="presParOf" srcId="{35D12E3C-F40A-41AD-81A8-F8FF50B7F9D2}" destId="{32A0F051-1787-4993-AF0C-4956D80C41AE}" srcOrd="0" destOrd="0" presId="urn:microsoft.com/office/officeart/2005/8/layout/radial1#1"/>
    <dgm:cxn modelId="{BBFFCBD8-FBFB-4EAC-AA00-1F22629CB969}" type="presParOf" srcId="{973FB75C-1ED8-4E37-8E1B-EA62C029B7F4}" destId="{49714A1C-85C8-4B4C-8655-B3D8E9C95815}" srcOrd="12" destOrd="0" presId="urn:microsoft.com/office/officeart/2005/8/layout/radial1#1"/>
    <dgm:cxn modelId="{1F4EFBBE-6AEE-4948-90FA-287D44AD829A}" type="presParOf" srcId="{973FB75C-1ED8-4E37-8E1B-EA62C029B7F4}" destId="{924CAC8F-C1E3-4ECB-AFF3-ED958ED9DA34}" srcOrd="13" destOrd="0" presId="urn:microsoft.com/office/officeart/2005/8/layout/radial1#1"/>
    <dgm:cxn modelId="{BCF7BC71-0B37-46D3-B77D-7E27E768DB42}" type="presParOf" srcId="{924CAC8F-C1E3-4ECB-AFF3-ED958ED9DA34}" destId="{D2D027F6-AD28-49A8-944E-E93873BC7CC7}" srcOrd="0" destOrd="0" presId="urn:microsoft.com/office/officeart/2005/8/layout/radial1#1"/>
    <dgm:cxn modelId="{EC458FB5-8E4D-4F44-BCD7-C370828757B8}" type="presParOf" srcId="{973FB75C-1ED8-4E37-8E1B-EA62C029B7F4}" destId="{31ABB4E1-7565-4413-8739-2E510235E841}" srcOrd="14" destOrd="0" presId="urn:microsoft.com/office/officeart/2005/8/layout/radial1#1"/>
    <dgm:cxn modelId="{802FF0CE-7F19-4435-9880-BCA9EC2CAA82}" type="presParOf" srcId="{973FB75C-1ED8-4E37-8E1B-EA62C029B7F4}" destId="{64457CEE-C1AF-4ED8-B69D-F248AC3C7819}" srcOrd="15" destOrd="0" presId="urn:microsoft.com/office/officeart/2005/8/layout/radial1#1"/>
    <dgm:cxn modelId="{C3A6FE76-51BC-4A1C-8501-3A9AD384F000}" type="presParOf" srcId="{64457CEE-C1AF-4ED8-B69D-F248AC3C7819}" destId="{87BA143A-061B-4ACA-A0B2-CD82C8C0D4E9}" srcOrd="0" destOrd="0" presId="urn:microsoft.com/office/officeart/2005/8/layout/radial1#1"/>
    <dgm:cxn modelId="{61961D79-84F6-4176-9C31-C98EF432CF1D}" type="presParOf" srcId="{973FB75C-1ED8-4E37-8E1B-EA62C029B7F4}" destId="{DCA11150-061D-49AC-8859-5B829212D50E}" srcOrd="16" destOrd="0" presId="urn:microsoft.com/office/officeart/2005/8/layout/radial1#1"/>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93E6FE-5EB6-4700-961A-667619ED4CA9}">
      <dsp:nvSpPr>
        <dsp:cNvPr id="0" name=""/>
        <dsp:cNvSpPr/>
      </dsp:nvSpPr>
      <dsp:spPr>
        <a:xfrm>
          <a:off x="2517947" y="1459402"/>
          <a:ext cx="857540" cy="857540"/>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Bonne évaluation</a:t>
          </a:r>
        </a:p>
      </dsp:txBody>
      <dsp:txXfrm>
        <a:off x="2643531" y="1584986"/>
        <a:ext cx="606372" cy="606372"/>
      </dsp:txXfrm>
    </dsp:sp>
    <dsp:sp modelId="{BA2A64C7-63B2-4108-8619-EA1DC5D6193D}">
      <dsp:nvSpPr>
        <dsp:cNvPr id="0" name=""/>
        <dsp:cNvSpPr/>
      </dsp:nvSpPr>
      <dsp:spPr>
        <a:xfrm rot="16200000">
          <a:off x="2646687" y="1146276"/>
          <a:ext cx="600059" cy="26191"/>
        </a:xfrm>
        <a:custGeom>
          <a:avLst/>
          <a:gdLst/>
          <a:ahLst/>
          <a:cxnLst/>
          <a:rect l="0" t="0" r="0" b="0"/>
          <a:pathLst>
            <a:path>
              <a:moveTo>
                <a:pt x="0" y="13095"/>
              </a:moveTo>
              <a:lnTo>
                <a:pt x="600059" y="1309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931716" y="1144370"/>
        <a:ext cx="30002" cy="30002"/>
      </dsp:txXfrm>
    </dsp:sp>
    <dsp:sp modelId="{444BC37E-F273-48DF-AD2E-78209F95BEBF}">
      <dsp:nvSpPr>
        <dsp:cNvPr id="0" name=""/>
        <dsp:cNvSpPr/>
      </dsp:nvSpPr>
      <dsp:spPr>
        <a:xfrm>
          <a:off x="2517947" y="1801"/>
          <a:ext cx="857540" cy="857540"/>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Equitable</a:t>
          </a:r>
        </a:p>
      </dsp:txBody>
      <dsp:txXfrm>
        <a:off x="2643531" y="127385"/>
        <a:ext cx="606372" cy="606372"/>
      </dsp:txXfrm>
    </dsp:sp>
    <dsp:sp modelId="{7A677D7A-3E64-48E9-B39E-E9E41CE5B474}">
      <dsp:nvSpPr>
        <dsp:cNvPr id="0" name=""/>
        <dsp:cNvSpPr/>
      </dsp:nvSpPr>
      <dsp:spPr>
        <a:xfrm rot="18900000">
          <a:off x="3162027" y="1359737"/>
          <a:ext cx="600059" cy="26191"/>
        </a:xfrm>
        <a:custGeom>
          <a:avLst/>
          <a:gdLst/>
          <a:ahLst/>
          <a:cxnLst/>
          <a:rect l="0" t="0" r="0" b="0"/>
          <a:pathLst>
            <a:path>
              <a:moveTo>
                <a:pt x="0" y="13095"/>
              </a:moveTo>
              <a:lnTo>
                <a:pt x="600059" y="1309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47055" y="1357831"/>
        <a:ext cx="30002" cy="30002"/>
      </dsp:txXfrm>
    </dsp:sp>
    <dsp:sp modelId="{483334C8-C53C-41E8-9890-8A0296C6D10C}">
      <dsp:nvSpPr>
        <dsp:cNvPr id="0" name=""/>
        <dsp:cNvSpPr/>
      </dsp:nvSpPr>
      <dsp:spPr>
        <a:xfrm>
          <a:off x="3548626" y="428722"/>
          <a:ext cx="857540" cy="857540"/>
        </a:xfrm>
        <a:prstGeom prst="ellipse">
          <a:avLst/>
        </a:prstGeom>
        <a:solidFill>
          <a:schemeClr val="accent4">
            <a:hueOff val="-637824"/>
            <a:satOff val="3843"/>
            <a:lumOff val="30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Appropriée</a:t>
          </a:r>
        </a:p>
      </dsp:txBody>
      <dsp:txXfrm>
        <a:off x="3674210" y="554306"/>
        <a:ext cx="606372" cy="606372"/>
      </dsp:txXfrm>
    </dsp:sp>
    <dsp:sp modelId="{202EB0A8-E96D-444D-8446-117FBCD1049B}">
      <dsp:nvSpPr>
        <dsp:cNvPr id="0" name=""/>
        <dsp:cNvSpPr/>
      </dsp:nvSpPr>
      <dsp:spPr>
        <a:xfrm>
          <a:off x="3375487" y="1875076"/>
          <a:ext cx="600059" cy="26191"/>
        </a:xfrm>
        <a:custGeom>
          <a:avLst/>
          <a:gdLst/>
          <a:ahLst/>
          <a:cxnLst/>
          <a:rect l="0" t="0" r="0" b="0"/>
          <a:pathLst>
            <a:path>
              <a:moveTo>
                <a:pt x="0" y="13095"/>
              </a:moveTo>
              <a:lnTo>
                <a:pt x="600059" y="1309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60516" y="1873171"/>
        <a:ext cx="30002" cy="30002"/>
      </dsp:txXfrm>
    </dsp:sp>
    <dsp:sp modelId="{8C4808A3-01E4-4114-976A-0FB3FBF72330}">
      <dsp:nvSpPr>
        <dsp:cNvPr id="0" name=""/>
        <dsp:cNvSpPr/>
      </dsp:nvSpPr>
      <dsp:spPr>
        <a:xfrm>
          <a:off x="3975547" y="1459402"/>
          <a:ext cx="857540" cy="857540"/>
        </a:xfrm>
        <a:prstGeom prst="ellipse">
          <a:avLst/>
        </a:prstGeom>
        <a:solidFill>
          <a:schemeClr val="accent4">
            <a:hueOff val="-1275649"/>
            <a:satOff val="7685"/>
            <a:lumOff val="61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Valide</a:t>
          </a:r>
        </a:p>
      </dsp:txBody>
      <dsp:txXfrm>
        <a:off x="4101131" y="1584986"/>
        <a:ext cx="606372" cy="606372"/>
      </dsp:txXfrm>
    </dsp:sp>
    <dsp:sp modelId="{65247FF6-BCC3-48E3-9084-16B84591E3EC}">
      <dsp:nvSpPr>
        <dsp:cNvPr id="0" name=""/>
        <dsp:cNvSpPr/>
      </dsp:nvSpPr>
      <dsp:spPr>
        <a:xfrm rot="2700000">
          <a:off x="3162027" y="2390416"/>
          <a:ext cx="600059" cy="26191"/>
        </a:xfrm>
        <a:custGeom>
          <a:avLst/>
          <a:gdLst/>
          <a:ahLst/>
          <a:cxnLst/>
          <a:rect l="0" t="0" r="0" b="0"/>
          <a:pathLst>
            <a:path>
              <a:moveTo>
                <a:pt x="0" y="13095"/>
              </a:moveTo>
              <a:lnTo>
                <a:pt x="600059" y="1309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47055" y="2388510"/>
        <a:ext cx="30002" cy="30002"/>
      </dsp:txXfrm>
    </dsp:sp>
    <dsp:sp modelId="{43151753-B2E3-4E87-A37E-9F2D293F618B}">
      <dsp:nvSpPr>
        <dsp:cNvPr id="0" name=""/>
        <dsp:cNvSpPr/>
      </dsp:nvSpPr>
      <dsp:spPr>
        <a:xfrm>
          <a:off x="3548626" y="2490081"/>
          <a:ext cx="857540" cy="857540"/>
        </a:xfrm>
        <a:prstGeom prst="ellipse">
          <a:avLst/>
        </a:prstGeom>
        <a:solidFill>
          <a:schemeClr val="accent4">
            <a:hueOff val="-1913473"/>
            <a:satOff val="11528"/>
            <a:lumOff val="92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Fiable</a:t>
          </a:r>
        </a:p>
      </dsp:txBody>
      <dsp:txXfrm>
        <a:off x="3674210" y="2615665"/>
        <a:ext cx="606372" cy="606372"/>
      </dsp:txXfrm>
    </dsp:sp>
    <dsp:sp modelId="{C2FD57B7-C527-4831-AC3A-3EC61FD32337}">
      <dsp:nvSpPr>
        <dsp:cNvPr id="0" name=""/>
        <dsp:cNvSpPr/>
      </dsp:nvSpPr>
      <dsp:spPr>
        <a:xfrm rot="5400000">
          <a:off x="2646687" y="2603877"/>
          <a:ext cx="600059" cy="26191"/>
        </a:xfrm>
        <a:custGeom>
          <a:avLst/>
          <a:gdLst/>
          <a:ahLst/>
          <a:cxnLst/>
          <a:rect l="0" t="0" r="0" b="0"/>
          <a:pathLst>
            <a:path>
              <a:moveTo>
                <a:pt x="0" y="13095"/>
              </a:moveTo>
              <a:lnTo>
                <a:pt x="600059" y="1309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931716" y="2601971"/>
        <a:ext cx="30002" cy="30002"/>
      </dsp:txXfrm>
    </dsp:sp>
    <dsp:sp modelId="{ED4005C1-B089-44D3-BDCB-177BAD908BDF}">
      <dsp:nvSpPr>
        <dsp:cNvPr id="0" name=""/>
        <dsp:cNvSpPr/>
      </dsp:nvSpPr>
      <dsp:spPr>
        <a:xfrm>
          <a:off x="2517947" y="2917002"/>
          <a:ext cx="857540" cy="857540"/>
        </a:xfrm>
        <a:prstGeom prst="ellipse">
          <a:avLst/>
        </a:prstGeom>
        <a:solidFill>
          <a:schemeClr val="accent4">
            <a:hueOff val="-2551297"/>
            <a:satOff val="15371"/>
            <a:lumOff val="123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Transpa-rente</a:t>
          </a:r>
        </a:p>
      </dsp:txBody>
      <dsp:txXfrm>
        <a:off x="2643531" y="3042586"/>
        <a:ext cx="606372" cy="606372"/>
      </dsp:txXfrm>
    </dsp:sp>
    <dsp:sp modelId="{35D12E3C-F40A-41AD-81A8-F8FF50B7F9D2}">
      <dsp:nvSpPr>
        <dsp:cNvPr id="0" name=""/>
        <dsp:cNvSpPr/>
      </dsp:nvSpPr>
      <dsp:spPr>
        <a:xfrm rot="8100000">
          <a:off x="2131347" y="2390416"/>
          <a:ext cx="600059" cy="26191"/>
        </a:xfrm>
        <a:custGeom>
          <a:avLst/>
          <a:gdLst/>
          <a:ahLst/>
          <a:cxnLst/>
          <a:rect l="0" t="0" r="0" b="0"/>
          <a:pathLst>
            <a:path>
              <a:moveTo>
                <a:pt x="0" y="13095"/>
              </a:moveTo>
              <a:lnTo>
                <a:pt x="600059" y="1309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416376" y="2388510"/>
        <a:ext cx="30002" cy="30002"/>
      </dsp:txXfrm>
    </dsp:sp>
    <dsp:sp modelId="{49714A1C-85C8-4B4C-8655-B3D8E9C95815}">
      <dsp:nvSpPr>
        <dsp:cNvPr id="0" name=""/>
        <dsp:cNvSpPr/>
      </dsp:nvSpPr>
      <dsp:spPr>
        <a:xfrm>
          <a:off x="1487267" y="2490081"/>
          <a:ext cx="857540" cy="857540"/>
        </a:xfrm>
        <a:prstGeom prst="ellipse">
          <a:avLst/>
        </a:prstGeom>
        <a:solidFill>
          <a:schemeClr val="accent4">
            <a:hueOff val="-3189121"/>
            <a:satOff val="19214"/>
            <a:lumOff val="154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Authentique</a:t>
          </a:r>
        </a:p>
      </dsp:txBody>
      <dsp:txXfrm>
        <a:off x="1612851" y="2615665"/>
        <a:ext cx="606372" cy="606372"/>
      </dsp:txXfrm>
    </dsp:sp>
    <dsp:sp modelId="{924CAC8F-C1E3-4ECB-AFF3-ED958ED9DA34}">
      <dsp:nvSpPr>
        <dsp:cNvPr id="0" name=""/>
        <dsp:cNvSpPr/>
      </dsp:nvSpPr>
      <dsp:spPr>
        <a:xfrm rot="10800000">
          <a:off x="1917887" y="1875076"/>
          <a:ext cx="600059" cy="26191"/>
        </a:xfrm>
        <a:custGeom>
          <a:avLst/>
          <a:gdLst/>
          <a:ahLst/>
          <a:cxnLst/>
          <a:rect l="0" t="0" r="0" b="0"/>
          <a:pathLst>
            <a:path>
              <a:moveTo>
                <a:pt x="0" y="13095"/>
              </a:moveTo>
              <a:lnTo>
                <a:pt x="600059" y="1309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202915" y="1873171"/>
        <a:ext cx="30002" cy="30002"/>
      </dsp:txXfrm>
    </dsp:sp>
    <dsp:sp modelId="{31ABB4E1-7565-4413-8739-2E510235E841}">
      <dsp:nvSpPr>
        <dsp:cNvPr id="0" name=""/>
        <dsp:cNvSpPr/>
      </dsp:nvSpPr>
      <dsp:spPr>
        <a:xfrm>
          <a:off x="1060346" y="1459402"/>
          <a:ext cx="857540" cy="857540"/>
        </a:xfrm>
        <a:prstGeom prst="ellipse">
          <a:avLst/>
        </a:prstGeom>
        <a:solidFill>
          <a:schemeClr val="accent4">
            <a:hueOff val="-3826945"/>
            <a:satOff val="23056"/>
            <a:lumOff val="184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Gérable</a:t>
          </a:r>
        </a:p>
      </dsp:txBody>
      <dsp:txXfrm>
        <a:off x="1185930" y="1584986"/>
        <a:ext cx="606372" cy="606372"/>
      </dsp:txXfrm>
    </dsp:sp>
    <dsp:sp modelId="{64457CEE-C1AF-4ED8-B69D-F248AC3C7819}">
      <dsp:nvSpPr>
        <dsp:cNvPr id="0" name=""/>
        <dsp:cNvSpPr/>
      </dsp:nvSpPr>
      <dsp:spPr>
        <a:xfrm rot="13500000">
          <a:off x="2131347" y="1359737"/>
          <a:ext cx="600059" cy="26191"/>
        </a:xfrm>
        <a:custGeom>
          <a:avLst/>
          <a:gdLst/>
          <a:ahLst/>
          <a:cxnLst/>
          <a:rect l="0" t="0" r="0" b="0"/>
          <a:pathLst>
            <a:path>
              <a:moveTo>
                <a:pt x="0" y="13095"/>
              </a:moveTo>
              <a:lnTo>
                <a:pt x="600059" y="1309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416376" y="1357831"/>
        <a:ext cx="30002" cy="30002"/>
      </dsp:txXfrm>
    </dsp:sp>
    <dsp:sp modelId="{DCA11150-061D-49AC-8859-5B829212D50E}">
      <dsp:nvSpPr>
        <dsp:cNvPr id="0" name=""/>
        <dsp:cNvSpPr/>
      </dsp:nvSpPr>
      <dsp:spPr>
        <a:xfrm>
          <a:off x="1487267" y="428722"/>
          <a:ext cx="857540" cy="857540"/>
        </a:xfrm>
        <a:prstGeom prst="ellipse">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Attirante</a:t>
          </a:r>
        </a:p>
      </dsp:txBody>
      <dsp:txXfrm>
        <a:off x="1612851" y="554306"/>
        <a:ext cx="606372" cy="606372"/>
      </dsp:txXfrm>
    </dsp:sp>
  </dsp:spTree>
</dsp:drawing>
</file>

<file path=word/diagrams/layout2.xml><?xml version="1.0" encoding="utf-8"?>
<dgm:layoutDef xmlns:dgm="http://schemas.openxmlformats.org/drawingml/2006/diagram" xmlns:a="http://schemas.openxmlformats.org/drawingml/2006/main" uniqueId="urn:microsoft.com/office/officeart/2005/8/layout/radial1#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ctrShpMap" val="fNode"/>
              <dgm:param type="spanAng" val="360"/>
            </dgm:alg>
          </dgm:if>
          <dgm:else name="Name4">
            <dgm:alg type="cycle">
              <dgm:param type="stAng" val="0"/>
              <dgm:param type="ctrShpMap" val="fNode"/>
              <dgm:param type="spanAng" val="360"/>
            </dgm:alg>
          </dgm:else>
        </dgm:choose>
      </dgm:if>
      <dgm:else name="Name5">
        <dgm:alg type="cycle">
          <dgm:param type="stAng" val="0"/>
          <dgm:param type="ctrShpMap" val="fNode"/>
          <dgm:param type="spanAng" val="-360"/>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begSty" val="noArr"/>
              <dgm:param type="dim" val="1D"/>
              <dgm:param type="endPts" val="auto"/>
              <dgm:param type="endSty" val="noArr"/>
              <dgm:param type="begPts" val="auto"/>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Application>LibreOffice/5.1.6.2$Linux_X86_64 LibreOffice_project/10m0$Build-2</Application>
  <Pages>5</Pages>
  <Words>1109</Words>
  <Characters>6617</Characters>
  <CharactersWithSpaces>7661</CharactersWithSpaces>
  <Paragraphs>51</Paragraphs>
  <Company>WMO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2017-08-08T10:51:00Z</dcterms:created>
  <dc:creator>User</dc:creator>
  <dc:description/>
  <dc:language>fr-FR</dc:language>
  <cp:lastModifiedBy/>
  <cp:lastPrinted>2016-04-04T13:42:00Z</cp:lastPrinted>
  <dcterms:modified xsi:type="dcterms:W3CDTF">2018-04-13T10:21:58Z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WMO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