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3A69" w:rsidRDefault="00E32120">
      <w:pPr>
        <w:rPr>
          <w:rFonts w:ascii="Calibri" w:eastAsia="Calibri" w:hAnsi="Calibri" w:cs="Calibri"/>
          <w:b/>
          <w:sz w:val="32"/>
          <w:szCs w:val="32"/>
        </w:rPr>
      </w:pPr>
    </w:p>
    <w:p w:rsidR="00813A69" w:rsidRDefault="00E32120">
      <w:pPr>
        <w:rPr>
          <w:rFonts w:ascii="Calibri" w:eastAsia="Calibri" w:hAnsi="Calibri" w:cs="Calibri"/>
          <w:color w:val="999999"/>
          <w:sz w:val="28"/>
          <w:szCs w:val="28"/>
        </w:rPr>
      </w:pPr>
      <w:r>
        <w:rPr>
          <w:rFonts w:ascii="Calibri" w:eastAsia="Calibri" w:hAnsi="Calibri" w:cs="Calibri"/>
          <w:b/>
          <w:bCs/>
          <w:sz w:val="32"/>
          <w:szCs w:val="32"/>
          <w:lang w:val="fr-FR"/>
        </w:rPr>
        <w:t>Le cycle de formation</w:t>
      </w:r>
    </w:p>
    <w:p w:rsidR="00813A69" w:rsidRDefault="00E32120">
      <w:pPr>
        <w:rPr>
          <w:rFonts w:ascii="Calibri" w:eastAsia="Calibri" w:hAnsi="Calibri" w:cs="Calibri"/>
          <w:color w:val="666699"/>
          <w:sz w:val="28"/>
          <w:szCs w:val="28"/>
        </w:rPr>
      </w:pPr>
    </w:p>
    <w:p w:rsidR="00813A69" w:rsidRDefault="001C324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fr-FR" w:eastAsia="fr-FR"/>
        </w:rPr>
        <w:drawing>
          <wp:inline distT="0" distB="0" distL="0" distR="0">
            <wp:extent cx="3686175" cy="3466459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378" cy="346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A69" w:rsidRDefault="00E32120">
      <w:pPr>
        <w:rPr>
          <w:rFonts w:ascii="Calibri" w:eastAsia="Calibri" w:hAnsi="Calibri" w:cs="Calibri"/>
        </w:rPr>
      </w:pPr>
    </w:p>
    <w:p w:rsidR="00EF627D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Le processus de formation est souvent décrit comme un cycle. Cette description évoque un processus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amélioration continue, en termes de processus de formation et en termes de progression professionnelle des apprenants. </w:t>
      </w:r>
      <w:r>
        <w:rPr>
          <w:rFonts w:ascii="Calibri" w:eastAsia="Calibri" w:hAnsi="Calibri" w:cs="Calibri"/>
          <w:sz w:val="24"/>
          <w:szCs w:val="24"/>
          <w:lang w:val="fr-FR"/>
        </w:rPr>
        <w:t>La connaissance est un processus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évolution continuelle - les exigences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un poste changent avec le temps et les processus de formation évoluent avec les technologies et les besoins organisationnels. En outre, chaque processus et chaque personne présente </w:t>
      </w:r>
      <w:r>
        <w:rPr>
          <w:rFonts w:ascii="Calibri" w:eastAsia="Calibri" w:hAnsi="Calibri" w:cs="Calibri"/>
          <w:sz w:val="24"/>
          <w:szCs w:val="24"/>
          <w:lang w:val="fr-FR"/>
        </w:rPr>
        <w:t>un potentiel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amélioration continue. Aucun professionnel n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arrête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accumuler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expérience, il y a toujours quelque chose à apprendre et des manières de progresser. De la même façon, aucune organisation de formation n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est statique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–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des chances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améli</w:t>
      </w:r>
      <w:r>
        <w:rPr>
          <w:rFonts w:ascii="Calibri" w:eastAsia="Calibri" w:hAnsi="Calibri" w:cs="Calibri"/>
          <w:sz w:val="24"/>
          <w:szCs w:val="24"/>
          <w:lang w:val="fr-FR"/>
        </w:rPr>
        <w:t>oration existent toujours, en s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appuyant sur les formations passées et sur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évolution de la profession. Le cycle de formation reflète la façon dont cette amélioration continue se déroule.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Ce cycle est composé de composants interdépendants, maillons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un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processus systématique, débutant normalement en identifiant les besoins en formation et se terminant en contrôlant les apprentissages et en évaluant la formation. Mais ce cycle peut démarrer en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autres points, suivant les évènements antérieurs.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 xml:space="preserve">Chaque </w:t>
      </w:r>
      <w:r>
        <w:rPr>
          <w:rFonts w:ascii="Calibri" w:eastAsia="Calibri" w:hAnsi="Calibri" w:cs="Calibri"/>
          <w:sz w:val="24"/>
          <w:szCs w:val="24"/>
          <w:lang w:val="fr-FR"/>
        </w:rPr>
        <w:t>composant influence également les autres par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intermédiaire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une évaluation permanente et de la remise en cause des décisions et résultats en cours de route, de telle sorte que le chemin n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est jamais complètement linéaire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–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il est itératif et souvent réa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dapté. La formation est également un système interdépendant - elle est systémique, pas seulement </w:t>
      </w:r>
      <w:r>
        <w:rPr>
          <w:rFonts w:ascii="Calibri" w:eastAsia="Calibri" w:hAnsi="Calibri" w:cs="Calibri"/>
          <w:sz w:val="24"/>
          <w:szCs w:val="24"/>
          <w:lang w:val="fr-FR"/>
        </w:rPr>
        <w:lastRenderedPageBreak/>
        <w:t>systématique. Par exemple les besoins en formation déterminent ce qui doit être appris, et comment cela doit être enseigné, et les contrôles des apprentissages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pendant ou après le cours peuvent indiquer que les méthodes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enseignement doivent évoluer. Des lignes peuvent être tracées depuis chaque composant vers tous les autres pour refléter cet état de fait.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Passer en revue les étapes du cycle de formation lor</w:t>
      </w:r>
      <w:r>
        <w:rPr>
          <w:rFonts w:ascii="Calibri" w:eastAsia="Calibri" w:hAnsi="Calibri" w:cs="Calibri"/>
          <w:sz w:val="24"/>
          <w:szCs w:val="24"/>
          <w:lang w:val="fr-FR"/>
        </w:rPr>
        <w:t>s de sa conception donne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occasion de r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éfléchir sur chaque aspect de la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formation, et aide à prendre des décisions sur la base de bonnes informations dès le début du processus de conception. Garder une trace de toutes les décisions prises pendant ce proce</w:t>
      </w:r>
      <w:r>
        <w:rPr>
          <w:rFonts w:ascii="Calibri" w:eastAsia="Calibri" w:hAnsi="Calibri" w:cs="Calibri"/>
          <w:sz w:val="24"/>
          <w:szCs w:val="24"/>
          <w:lang w:val="fr-FR"/>
        </w:rPr>
        <w:t>ssus en rédigeant un Plan de développement de formation (PDF), comme celui utilisé dans le cours OMM pour les formateurs, est une pratique utile.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 xml:space="preserve">De manière appropriée, les étapes du cycle de formation décrit ci-dessus définissent chacune des compétences </w:t>
      </w:r>
      <w:r>
        <w:rPr>
          <w:rFonts w:ascii="Calibri" w:eastAsia="Calibri" w:hAnsi="Calibri" w:cs="Calibri"/>
          <w:sz w:val="24"/>
          <w:szCs w:val="24"/>
          <w:lang w:val="fr-FR"/>
        </w:rPr>
        <w:t>du Cadre de compétences OMM pour les prestataires de formation. Ce cadre de compétences pilote les structures et activités qui constitue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 xml:space="preserve">nt </w:t>
      </w:r>
      <w:r>
        <w:rPr>
          <w:rFonts w:ascii="Calibri" w:eastAsia="Calibri" w:hAnsi="Calibri" w:cs="Calibri"/>
          <w:sz w:val="24"/>
          <w:szCs w:val="24"/>
          <w:lang w:val="fr-FR"/>
        </w:rPr>
        <w:t>le cours pour les formateurs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OMM. Chacune de ces étapes est décrite plus précisément ci-dessous selon la manière d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ont elles doivent être menées, en accord avec les compétences. </w:t>
      </w:r>
    </w:p>
    <w:p w:rsidR="00813A69" w:rsidRDefault="00E32120">
      <w:pPr>
        <w:rPr>
          <w:rFonts w:ascii="Calibri" w:eastAsia="Calibri" w:hAnsi="Calibri" w:cs="Calibri"/>
          <w:sz w:val="28"/>
          <w:szCs w:val="28"/>
        </w:rPr>
      </w:pPr>
    </w:p>
    <w:p w:rsidR="00E208DB" w:rsidRDefault="00E32120">
      <w:pPr>
        <w:rPr>
          <w:rFonts w:ascii="Calibri" w:eastAsia="Calibri" w:hAnsi="Calibri" w:cs="Calibri"/>
          <w:sz w:val="28"/>
          <w:szCs w:val="28"/>
        </w:rPr>
      </w:pPr>
    </w:p>
    <w:p w:rsidR="00813A69" w:rsidRDefault="00E32120">
      <w:pPr>
        <w:keepNext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Identifier les besoins en formation et spécifier les résultats d</w:t>
      </w:r>
      <w:r w:rsidR="0042688B"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apprentissage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Une approche systématique est utilisée pour identifier les besoins individuels ou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organisation, qui sont ensuite déclinés en termes de résultats décrivant ce que les apprenants doivent être capables de faire après la formation. Les besoins en formatio</w:t>
      </w:r>
      <w:r>
        <w:rPr>
          <w:rFonts w:ascii="Calibri" w:eastAsia="Calibri" w:hAnsi="Calibri" w:cs="Calibri"/>
          <w:sz w:val="24"/>
          <w:szCs w:val="24"/>
          <w:lang w:val="fr-FR"/>
        </w:rPr>
        <w:t>n peuvent être basé</w:t>
      </w:r>
      <w:r>
        <w:rPr>
          <w:rFonts w:ascii="Calibri" w:eastAsia="Calibri" w:hAnsi="Calibri" w:cs="Calibri"/>
          <w:sz w:val="24"/>
          <w:szCs w:val="24"/>
          <w:lang w:val="fr-FR"/>
        </w:rPr>
        <w:t>s sur des compétences professionnelles déjà spécifiées, mais peuvent également être guidés par une analyse plus profonde des besoins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un groupe donné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apprenant ou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une organisation, indiqués par les niveaux actuels de capacité. Les </w:t>
      </w:r>
      <w:r>
        <w:rPr>
          <w:rFonts w:ascii="Calibri" w:eastAsia="Calibri" w:hAnsi="Calibri" w:cs="Calibri"/>
          <w:sz w:val="24"/>
          <w:szCs w:val="24"/>
          <w:lang w:val="fr-FR"/>
        </w:rPr>
        <w:t>résultats des apprentissages doivent être spécifiés en collaboration avec les parties prenantes, de telle sorte que si les résultats espérés sont obtenus, les apprenants seront capables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effectuer leur mission au niveau attendu par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organisation. </w:t>
      </w:r>
    </w:p>
    <w:p w:rsidR="00813A69" w:rsidRDefault="00E32120">
      <w:pPr>
        <w:rPr>
          <w:rFonts w:ascii="Calibri" w:eastAsia="Calibri" w:hAnsi="Calibri" w:cs="Calibri"/>
        </w:rPr>
      </w:pPr>
    </w:p>
    <w:p w:rsidR="00E208DB" w:rsidRDefault="00E32120">
      <w:pPr>
        <w:rPr>
          <w:rFonts w:ascii="Calibri" w:eastAsia="Calibri" w:hAnsi="Calibri" w:cs="Calibri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Déte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rminer une solution de formation</w:t>
      </w:r>
    </w:p>
    <w:p w:rsidR="00813A69" w:rsidRDefault="00E32120">
      <w:pPr>
        <w:rPr>
          <w:rFonts w:ascii="Calibri" w:eastAsia="Calibri" w:hAnsi="Calibri" w:cs="Calibri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La solution de formation, ou modalité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enseignement (p. ex. atelier en classe, formation en ligne, ou formation sur le terrain) est déterminée sur la base de critères pertinents, et un plan est préparé pour mettre en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œ</w:t>
      </w:r>
      <w:r>
        <w:rPr>
          <w:rFonts w:ascii="Calibri" w:eastAsia="Calibri" w:hAnsi="Calibri" w:cs="Calibri"/>
          <w:sz w:val="24"/>
          <w:szCs w:val="24"/>
          <w:lang w:val="fr-FR"/>
        </w:rPr>
        <w:t>uv</w:t>
      </w:r>
      <w:r>
        <w:rPr>
          <w:rFonts w:ascii="Calibri" w:eastAsia="Calibri" w:hAnsi="Calibri" w:cs="Calibri"/>
          <w:sz w:val="24"/>
          <w:szCs w:val="24"/>
          <w:lang w:val="fr-FR"/>
        </w:rPr>
        <w:t>re les solutions choisies. Certains de ces critères peuvent être les coûts, les caractéristiques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organisation et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audience, les implications en termes de ressources et la mesure dans laquelle elles peuvent permettre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atteindre les résultats de fo</w:t>
      </w:r>
      <w:r>
        <w:rPr>
          <w:rFonts w:ascii="Calibri" w:eastAsia="Calibri" w:hAnsi="Calibri" w:cs="Calibri"/>
          <w:sz w:val="24"/>
          <w:szCs w:val="24"/>
          <w:lang w:val="fr-FR"/>
        </w:rPr>
        <w:t>rmation souhaités. Les solutions peuvent être un mélange de méthodes formelles, semi-formelles et informelles.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 xml:space="preserve">Les plans pour mettre en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œ</w:t>
      </w:r>
      <w:r>
        <w:rPr>
          <w:rFonts w:ascii="Calibri" w:eastAsia="Calibri" w:hAnsi="Calibri" w:cs="Calibri"/>
          <w:sz w:val="24"/>
          <w:szCs w:val="24"/>
          <w:lang w:val="fr-FR"/>
        </w:rPr>
        <w:t>uvre les solutions choisies, notamment les calendriers, coûts, emplacements, technologies, personnels, apprenants vi</w:t>
      </w:r>
      <w:r>
        <w:rPr>
          <w:rFonts w:ascii="Calibri" w:eastAsia="Calibri" w:hAnsi="Calibri" w:cs="Calibri"/>
          <w:sz w:val="24"/>
          <w:szCs w:val="24"/>
          <w:lang w:val="fr-FR"/>
        </w:rPr>
        <w:t>sés et critères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évaluation, suivent le choix de la solution de formation.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BF6A3C" w:rsidRDefault="00E32120">
      <w:pPr>
        <w:rPr>
          <w:rFonts w:ascii="Calibri" w:eastAsia="Calibri" w:hAnsi="Calibri" w:cs="Calibri"/>
          <w:sz w:val="24"/>
          <w:szCs w:val="24"/>
        </w:rPr>
      </w:pPr>
    </w:p>
    <w:p w:rsidR="00BF6A3C" w:rsidRDefault="00E32120">
      <w:pPr>
        <w:rPr>
          <w:rFonts w:ascii="Calibri" w:eastAsia="Calibri" w:hAnsi="Calibri" w:cs="Calibri"/>
          <w:sz w:val="24"/>
          <w:szCs w:val="24"/>
        </w:rPr>
      </w:pPr>
    </w:p>
    <w:p w:rsidR="00BF6A3C" w:rsidRDefault="00E32120">
      <w:pPr>
        <w:rPr>
          <w:rFonts w:ascii="Calibri" w:eastAsia="Calibri" w:hAnsi="Calibri" w:cs="Calibri"/>
          <w:sz w:val="24"/>
          <w:szCs w:val="24"/>
        </w:rPr>
      </w:pPr>
    </w:p>
    <w:p w:rsidR="00E208DB" w:rsidRDefault="00E32120" w:rsidP="00E208DB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Concevoir et développer les activités et les ressources pédagogiques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La conception des activités et ressources pédagogiques se justifie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par les résultats attendus de la formation et par la théorie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apprentissage établie. Le choix des activités de formation va orienter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expérience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apprentissage, qui doit inclure des tâ</w:t>
      </w:r>
      <w:r>
        <w:rPr>
          <w:rFonts w:ascii="Calibri" w:eastAsia="Calibri" w:hAnsi="Calibri" w:cs="Calibri"/>
          <w:sz w:val="24"/>
          <w:szCs w:val="24"/>
          <w:lang w:val="fr-FR"/>
        </w:rPr>
        <w:t>ches concrètes telles qu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elles existent </w:t>
      </w:r>
      <w:r w:rsidR="001C3248">
        <w:rPr>
          <w:rFonts w:ascii="Calibri" w:eastAsia="Calibri" w:hAnsi="Calibri" w:cs="Calibri"/>
          <w:sz w:val="24"/>
          <w:szCs w:val="24"/>
          <w:lang w:val="fr-FR"/>
        </w:rPr>
        <w:t>dans le monde professionnel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. Elles doivent être construites sur des connaissances établies, mais inciter les apprenants à mettre en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œ</w:t>
      </w:r>
      <w:r>
        <w:rPr>
          <w:rFonts w:ascii="Calibri" w:eastAsia="Calibri" w:hAnsi="Calibri" w:cs="Calibri"/>
          <w:sz w:val="24"/>
          <w:szCs w:val="24"/>
          <w:lang w:val="fr-FR"/>
        </w:rPr>
        <w:t>uvre les nouvelles acquisitions. Ce développement peut comprendre la préparation de présen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tations, de ressources destinées à être lues ou vues, et de ressources accompagnant les activités. Les formateurs doivent suivre un processus de développement de structure comprenant le test et la révision des activités et ressources.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E208DB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keepNext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Dispenser la forma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tion et gérer l</w:t>
      </w:r>
      <w:r w:rsidR="0042688B"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expérience d</w:t>
      </w:r>
      <w:r w:rsidR="0042688B"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apprentissage</w:t>
      </w:r>
    </w:p>
    <w:p w:rsidR="00813A69" w:rsidRDefault="00E32120">
      <w:pPr>
        <w:keepNext/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Les cours présentiels et/ou à distance sont dispensés dans un environnement qui encourage un apprentissage pérenne, avec une assistance et des conseils suffisants. Cela signifie que des activités de formation dyn</w:t>
      </w:r>
      <w:r>
        <w:rPr>
          <w:rFonts w:ascii="Calibri" w:eastAsia="Calibri" w:hAnsi="Calibri" w:cs="Calibri"/>
          <w:sz w:val="24"/>
          <w:szCs w:val="24"/>
          <w:lang w:val="fr-FR"/>
        </w:rPr>
        <w:t>amiques et engagées sont effectuées avec de nombreu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ses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occasions de pratiquer et de recevoir des informations en retour. Les technologies sont utilisées pour faciliter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apprentissage, et les perturbations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apprentissage sont minimisées.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E208DB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keepNext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Contrôler l</w:t>
      </w:r>
      <w:r w:rsidR="0042688B"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appre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ntissage et évaluer le processus de formation</w:t>
      </w:r>
    </w:p>
    <w:p w:rsidR="00813A69" w:rsidRDefault="00E32120">
      <w:pPr>
        <w:keepNext/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Les apprenants sont contrôlés par rapport aux résultats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apprentissage souhaités, par la mise en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œ</w:t>
      </w:r>
      <w:r>
        <w:rPr>
          <w:rFonts w:ascii="Calibri" w:eastAsia="Calibri" w:hAnsi="Calibri" w:cs="Calibri"/>
          <w:sz w:val="24"/>
          <w:szCs w:val="24"/>
          <w:lang w:val="fr-FR"/>
        </w:rPr>
        <w:t>uvre à la fois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un contrôle formatif pendant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apprentissage, donnant aux apprenants et enseignants le temps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ajuster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expérience de formation, et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un contrôle récapitulatif en fin de formation, pour garantir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apprentissage effectué et fournir des données pour de futures améliorations. Des données et des opinion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 xml:space="preserve">s </w:t>
      </w:r>
      <w:r>
        <w:rPr>
          <w:rFonts w:ascii="Calibri" w:eastAsia="Calibri" w:hAnsi="Calibri" w:cs="Calibri"/>
          <w:sz w:val="24"/>
          <w:szCs w:val="24"/>
          <w:lang w:val="fr-FR"/>
        </w:rPr>
        <w:t>supplémentaires sont collectées auprès des app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renants et autres personnes impliquées dans la formation, et utilisées pour améliorer aussi bien la formation en cours que les formations futures.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Analyser le contexte de l</w:t>
      </w:r>
      <w:r w:rsidR="0042688B"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fr-FR"/>
        </w:rPr>
        <w:t>organisation et gérer les processus de formation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Cette composante est en réalit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é un processus permanent mis en 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œ</w:t>
      </w:r>
      <w:r>
        <w:rPr>
          <w:rFonts w:ascii="Calibri" w:eastAsia="Calibri" w:hAnsi="Calibri" w:cs="Calibri"/>
          <w:sz w:val="24"/>
          <w:szCs w:val="24"/>
          <w:lang w:val="fr-FR"/>
        </w:rPr>
        <w:t>uvre pour garantir que les prestations de formation répondent aux besoins des parties prenantes et que la formation est dispensée conformément aux processus établis. Le contexte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organisation, y compris facteurs intern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es et externes, est analysé et les plans, stratégies et processus de formation sont développés et leur efficacité est suivie. La gestion du processus comprend la </w:t>
      </w:r>
      <w:r>
        <w:rPr>
          <w:rFonts w:ascii="Calibri" w:eastAsia="Calibri" w:hAnsi="Calibri" w:cs="Calibri"/>
          <w:sz w:val="24"/>
          <w:szCs w:val="24"/>
          <w:lang w:val="fr-FR"/>
        </w:rPr>
        <w:lastRenderedPageBreak/>
        <w:t>gestion des ressources humaines, notamment recrutement, développement de la structure du perso</w:t>
      </w:r>
      <w:r>
        <w:rPr>
          <w:rFonts w:ascii="Calibri" w:eastAsia="Calibri" w:hAnsi="Calibri" w:cs="Calibri"/>
          <w:sz w:val="24"/>
          <w:szCs w:val="24"/>
          <w:lang w:val="fr-FR"/>
        </w:rPr>
        <w:t>nnel, et les retours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informations sur les performances. </w:t>
      </w: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</w:p>
    <w:p w:rsidR="00813A69" w:rsidRDefault="00E321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fr-FR"/>
        </w:rPr>
        <w:t>Il est conseillé de conserver une trace écrite de l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analyse effectuée. Le modèle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>Analyse du contex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lang w:val="fr-FR"/>
        </w:rPr>
        <w:t>te organisationnel utilisé pour le cours OMM pour les formateurs fournit une bonne base de dével</w:t>
      </w:r>
      <w:r>
        <w:rPr>
          <w:rFonts w:ascii="Calibri" w:eastAsia="Calibri" w:hAnsi="Calibri" w:cs="Calibri"/>
          <w:sz w:val="24"/>
          <w:szCs w:val="24"/>
          <w:lang w:val="fr-FR"/>
        </w:rPr>
        <w:t>oppement d</w:t>
      </w:r>
      <w:r w:rsidR="0042688B">
        <w:rPr>
          <w:rFonts w:ascii="Calibri" w:eastAsia="Calibri" w:hAnsi="Calibri" w:cs="Calibri"/>
          <w:sz w:val="24"/>
          <w:szCs w:val="24"/>
          <w:lang w:val="fr-FR"/>
        </w:rPr>
        <w:t>’</w:t>
      </w:r>
      <w:r>
        <w:rPr>
          <w:rFonts w:ascii="Calibri" w:eastAsia="Calibri" w:hAnsi="Calibri" w:cs="Calibri"/>
          <w:sz w:val="24"/>
          <w:szCs w:val="24"/>
          <w:lang w:val="fr-FR"/>
        </w:rPr>
        <w:t xml:space="preserve">une note écrite du contexte actuel. </w:t>
      </w:r>
    </w:p>
    <w:sectPr w:rsidR="00813A69" w:rsidSect="00935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7" w:code="9"/>
      <w:pgMar w:top="1440" w:right="1440" w:bottom="1440" w:left="1440" w:header="907" w:footer="9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20" w:rsidRDefault="00E32120">
      <w:r>
        <w:separator/>
      </w:r>
    </w:p>
  </w:endnote>
  <w:endnote w:type="continuationSeparator" w:id="0">
    <w:p w:rsidR="00E32120" w:rsidRDefault="00E3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DB" w:rsidRDefault="00E32120" w:rsidP="0007262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208DB" w:rsidRDefault="00E3212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2A" w:rsidRDefault="00E32120" w:rsidP="003C097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C3248">
      <w:rPr>
        <w:rStyle w:val="Numrodepage"/>
        <w:noProof/>
      </w:rPr>
      <w:t>4</w:t>
    </w:r>
    <w:r>
      <w:rPr>
        <w:rStyle w:val="Numrodepage"/>
      </w:rPr>
      <w:fldChar w:fldCharType="end"/>
    </w:r>
  </w:p>
  <w:tbl>
    <w:tblPr>
      <w:tblStyle w:val="Grilledutableau"/>
      <w:tblpPr w:leftFromText="180" w:rightFromText="180" w:vertAnchor="text" w:horzAnchor="page" w:tblpX="1439" w:tblpY="539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16"/>
      <w:gridCol w:w="4626"/>
    </w:tblGrid>
    <w:tr w:rsidR="00FA3F50" w:rsidTr="00935AD5">
      <w:tc>
        <w:tcPr>
          <w:tcW w:w="4616" w:type="dxa"/>
          <w:tcMar>
            <w:top w:w="113" w:type="dxa"/>
          </w:tcMar>
        </w:tcPr>
        <w:p w:rsidR="00935AD5" w:rsidRDefault="00E32120" w:rsidP="00935AD5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lang w:val="fr-FR"/>
            </w:rPr>
            <w:t>Version 2.1 2017</w:t>
          </w:r>
        </w:p>
      </w:tc>
      <w:tc>
        <w:tcPr>
          <w:tcW w:w="4626" w:type="dxa"/>
          <w:tcMar>
            <w:top w:w="113" w:type="dxa"/>
          </w:tcMar>
        </w:tcPr>
        <w:p w:rsidR="00935AD5" w:rsidRDefault="00E32120" w:rsidP="00935AD5">
          <w:pPr>
            <w:pStyle w:val="Pieddepage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10553" cy="178630"/>
                <wp:effectExtent l="0" t="0" r="0" b="0"/>
                <wp:docPr id="6" name="Picture 6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3A69" w:rsidRDefault="00E32120">
    <w:pPr>
      <w:tabs>
        <w:tab w:val="center" w:pos="4320"/>
        <w:tab w:val="right" w:pos="8640"/>
      </w:tabs>
      <w:spacing w:after="90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8B" w:rsidRDefault="004268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20" w:rsidRDefault="00E32120">
      <w:r>
        <w:separator/>
      </w:r>
    </w:p>
  </w:footnote>
  <w:footnote w:type="continuationSeparator" w:id="0">
    <w:p w:rsidR="00E32120" w:rsidRDefault="00E3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8B" w:rsidRDefault="0042688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69" w:rsidRPr="00800BE9" w:rsidRDefault="00E32120" w:rsidP="00800BE9">
    <w:pPr>
      <w:pStyle w:val="En-tte"/>
      <w:rPr>
        <w:sz w:val="18"/>
        <w:szCs w:val="18"/>
        <w:lang w:val="fr-CH"/>
      </w:rPr>
    </w:pPr>
    <w:r w:rsidRPr="00B862BD">
      <w:rPr>
        <w:sz w:val="18"/>
        <w:szCs w:val="18"/>
        <w:lang w:val="fr-FR"/>
      </w:rPr>
      <w:t>Ressources OMM pour les formateurs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8B" w:rsidRDefault="004268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0"/>
    <w:rsid w:val="001C3248"/>
    <w:rsid w:val="0042688B"/>
    <w:rsid w:val="00E32120"/>
    <w:rsid w:val="00FA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depage">
    <w:name w:val="footer"/>
    <w:basedOn w:val="Normal"/>
    <w:link w:val="PieddepageCar"/>
    <w:uiPriority w:val="99"/>
    <w:unhideWhenUsed/>
    <w:rsid w:val="00E208D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08DB"/>
  </w:style>
  <w:style w:type="character" w:styleId="Numrodepage">
    <w:name w:val="page number"/>
    <w:basedOn w:val="Policepardfaut"/>
    <w:uiPriority w:val="99"/>
    <w:semiHidden/>
    <w:unhideWhenUsed/>
    <w:rsid w:val="00E208DB"/>
  </w:style>
  <w:style w:type="paragraph" w:styleId="En-tte">
    <w:name w:val="header"/>
    <w:basedOn w:val="Normal"/>
    <w:link w:val="En-tteCar"/>
    <w:uiPriority w:val="99"/>
    <w:unhideWhenUsed/>
    <w:rsid w:val="00E208D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208DB"/>
  </w:style>
  <w:style w:type="table" w:styleId="Grilledutableau">
    <w:name w:val="Table Grid"/>
    <w:basedOn w:val="TableauNormal"/>
    <w:uiPriority w:val="59"/>
    <w:rsid w:val="00CD0898"/>
    <w:rPr>
      <w:rFonts w:ascii="Calibri" w:eastAsia="SimSun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68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depage">
    <w:name w:val="footer"/>
    <w:basedOn w:val="Normal"/>
    <w:link w:val="PieddepageCar"/>
    <w:uiPriority w:val="99"/>
    <w:unhideWhenUsed/>
    <w:rsid w:val="00E208D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08DB"/>
  </w:style>
  <w:style w:type="character" w:styleId="Numrodepage">
    <w:name w:val="page number"/>
    <w:basedOn w:val="Policepardfaut"/>
    <w:uiPriority w:val="99"/>
    <w:semiHidden/>
    <w:unhideWhenUsed/>
    <w:rsid w:val="00E208DB"/>
  </w:style>
  <w:style w:type="paragraph" w:styleId="En-tte">
    <w:name w:val="header"/>
    <w:basedOn w:val="Normal"/>
    <w:link w:val="En-tteCar"/>
    <w:uiPriority w:val="99"/>
    <w:unhideWhenUsed/>
    <w:rsid w:val="00E208D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208DB"/>
  </w:style>
  <w:style w:type="table" w:styleId="Grilledutableau">
    <w:name w:val="Table Grid"/>
    <w:basedOn w:val="TableauNormal"/>
    <w:uiPriority w:val="59"/>
    <w:rsid w:val="00CD0898"/>
    <w:rPr>
      <w:rFonts w:ascii="Calibri" w:eastAsia="SimSun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68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1155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Gondouin</cp:lastModifiedBy>
  <cp:revision>5</cp:revision>
  <cp:lastPrinted>2017-03-12T12:39:00Z</cp:lastPrinted>
  <dcterms:created xsi:type="dcterms:W3CDTF">2017-03-12T12:39:00Z</dcterms:created>
  <dcterms:modified xsi:type="dcterms:W3CDTF">2017-07-02T09:40:00Z</dcterms:modified>
</cp:coreProperties>
</file>