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04662" w14:textId="128A72BC" w:rsidR="00A553C8" w:rsidRPr="00A553C8" w:rsidRDefault="00A553C8" w:rsidP="00A553C8">
      <w:pPr>
        <w:spacing w:before="100" w:beforeAutospacing="1" w:after="100" w:afterAutospacing="1"/>
        <w:jc w:val="center"/>
        <w:rPr>
          <w:rFonts w:ascii="Times New Roman" w:eastAsia="Times New Roman" w:hAnsi="Times New Roman" w:cs="Times New Roman"/>
          <w:b/>
          <w:bCs/>
          <w:kern w:val="0"/>
          <w:sz w:val="32"/>
          <w:szCs w:val="32"/>
          <w:lang w:val="en-GB" w:eastAsia="en-GB"/>
          <w14:ligatures w14:val="none"/>
        </w:rPr>
      </w:pPr>
      <w:r w:rsidRPr="00A553C8">
        <w:rPr>
          <w:rFonts w:ascii="Times New Roman" w:eastAsia="Times New Roman" w:hAnsi="Times New Roman" w:cs="Times New Roman"/>
          <w:b/>
          <w:bCs/>
          <w:kern w:val="0"/>
          <w:sz w:val="32"/>
          <w:szCs w:val="32"/>
          <w:lang w:val="en-GB" w:eastAsia="en-GB"/>
          <w14:ligatures w14:val="none"/>
        </w:rPr>
        <w:t>Why use blended learning approaches?</w:t>
      </w:r>
    </w:p>
    <w:p w14:paraId="63E05A22" w14:textId="07A7160C" w:rsidR="00BF5E22" w:rsidRPr="00870005" w:rsidRDefault="00BF5E22" w:rsidP="00BF5E22">
      <w:pPr>
        <w:spacing w:before="100" w:beforeAutospacing="1" w:after="100" w:afterAutospacing="1"/>
        <w:jc w:val="center"/>
        <w:rPr>
          <w:rFonts w:ascii="Times New Roman" w:eastAsia="Times New Roman" w:hAnsi="Times New Roman" w:cs="Times New Roman"/>
          <w:i/>
          <w:iCs/>
          <w:kern w:val="0"/>
          <w:lang w:val="en-GB" w:eastAsia="en-GB"/>
          <w14:ligatures w14:val="none"/>
        </w:rPr>
      </w:pPr>
      <w:r w:rsidRPr="00870005">
        <w:rPr>
          <w:rFonts w:ascii="Times New Roman" w:eastAsia="Times New Roman" w:hAnsi="Times New Roman" w:cs="Times New Roman"/>
          <w:i/>
          <w:iCs/>
          <w:kern w:val="0"/>
          <w:lang w:val="en-GB" w:eastAsia="en-GB"/>
          <w14:ligatures w14:val="none"/>
        </w:rPr>
        <w:t xml:space="preserve">This resource was adapted from an </w:t>
      </w:r>
      <w:r w:rsidR="00870005" w:rsidRPr="00870005">
        <w:rPr>
          <w:rFonts w:ascii="Times New Roman" w:eastAsia="Times New Roman" w:hAnsi="Times New Roman" w:cs="Times New Roman"/>
          <w:i/>
          <w:iCs/>
          <w:kern w:val="0"/>
          <w:lang w:val="en-GB" w:eastAsia="en-GB"/>
          <w14:ligatures w14:val="none"/>
        </w:rPr>
        <w:t>i</w:t>
      </w:r>
      <w:r w:rsidRPr="00870005">
        <w:rPr>
          <w:rFonts w:ascii="Times New Roman" w:eastAsia="Times New Roman" w:hAnsi="Times New Roman" w:cs="Times New Roman"/>
          <w:i/>
          <w:iCs/>
          <w:kern w:val="0"/>
          <w:lang w:val="en-GB" w:eastAsia="en-GB"/>
          <w14:ligatures w14:val="none"/>
        </w:rPr>
        <w:t>ntroduction to a course on Blended Learning.</w:t>
      </w:r>
    </w:p>
    <w:p w14:paraId="4E30C0CB" w14:textId="46A64D67" w:rsidR="00EB1C34" w:rsidRPr="00EB1C34" w:rsidRDefault="00870005" w:rsidP="00EB1C34">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val="en-GB" w:eastAsia="en-GB"/>
          <w14:ligatures w14:val="none"/>
        </w:rPr>
        <w:t>There are a variety of ways</w:t>
      </w:r>
      <w:r w:rsidR="00EB1C34" w:rsidRPr="00EB1C34">
        <w:rPr>
          <w:rFonts w:ascii="Times New Roman" w:eastAsia="Times New Roman" w:hAnsi="Times New Roman" w:cs="Times New Roman"/>
          <w:kern w:val="0"/>
          <w:lang w:val="en-GB" w:eastAsia="en-GB"/>
          <w14:ligatures w14:val="none"/>
        </w:rPr>
        <w:t xml:space="preserve"> to use a blend of course elements to create an effective and engaging learning experience. </w:t>
      </w:r>
    </w:p>
    <w:p w14:paraId="3F6119E4" w14:textId="634A2A3C" w:rsidR="00EB1C34" w:rsidRPr="00EB1C34" w:rsidRDefault="00870005" w:rsidP="00EB1C34">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val="en-GB" w:eastAsia="en-GB"/>
          <w14:ligatures w14:val="none"/>
        </w:rPr>
        <w:t>Here we</w:t>
      </w:r>
      <w:r w:rsidR="00EB1C34" w:rsidRPr="00EB1C34">
        <w:rPr>
          <w:rFonts w:ascii="Times New Roman" w:eastAsia="Times New Roman" w:hAnsi="Times New Roman" w:cs="Times New Roman"/>
          <w:kern w:val="0"/>
          <w:lang w:val="en-GB" w:eastAsia="en-GB"/>
          <w14:ligatures w14:val="none"/>
        </w:rPr>
        <w:t xml:space="preserve"> will take an expanded view of the term “blended Learning,” broader than the one you may be familiar with, much like authors such as Clive Shepard who recently published a book entitled “More than Blended Learning.” In fact, we </w:t>
      </w:r>
      <w:r>
        <w:rPr>
          <w:rFonts w:ascii="Times New Roman" w:eastAsia="Times New Roman" w:hAnsi="Times New Roman" w:cs="Times New Roman"/>
          <w:kern w:val="0"/>
          <w:lang w:val="en-GB" w:eastAsia="en-GB"/>
          <w14:ligatures w14:val="none"/>
        </w:rPr>
        <w:t>may</w:t>
      </w:r>
      <w:r w:rsidR="00EB1C34" w:rsidRPr="00EB1C34">
        <w:rPr>
          <w:rFonts w:ascii="Times New Roman" w:eastAsia="Times New Roman" w:hAnsi="Times New Roman" w:cs="Times New Roman"/>
          <w:kern w:val="0"/>
          <w:lang w:val="en-GB" w:eastAsia="en-GB"/>
          <w14:ligatures w14:val="none"/>
        </w:rPr>
        <w:t xml:space="preserve"> take the broadest view of all </w:t>
      </w:r>
      <w:r w:rsidR="00BF5E22">
        <w:rPr>
          <w:rFonts w:ascii="Times New Roman" w:eastAsia="Times New Roman" w:hAnsi="Times New Roman" w:cs="Times New Roman"/>
          <w:kern w:val="0"/>
          <w:lang w:val="en-GB" w:eastAsia="en-GB"/>
          <w14:ligatures w14:val="none"/>
        </w:rPr>
        <w:t>for</w:t>
      </w:r>
      <w:r w:rsidR="00EB1C34" w:rsidRPr="00EB1C34">
        <w:rPr>
          <w:rFonts w:ascii="Times New Roman" w:eastAsia="Times New Roman" w:hAnsi="Times New Roman" w:cs="Times New Roman"/>
          <w:kern w:val="0"/>
          <w:lang w:val="en-GB" w:eastAsia="en-GB"/>
          <w14:ligatures w14:val="none"/>
        </w:rPr>
        <w:t xml:space="preserve"> the term “blended.” </w:t>
      </w:r>
    </w:p>
    <w:p w14:paraId="0B2B1A1F" w14:textId="1BEF52F5"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Most commonly, “blended learning” is used to describe mixing online and classroom elements to make a more flexible course and to take advantage of the </w:t>
      </w:r>
      <w:r w:rsidR="00870005">
        <w:rPr>
          <w:rFonts w:ascii="Times New Roman" w:eastAsia="Times New Roman" w:hAnsi="Times New Roman" w:cs="Times New Roman"/>
          <w:kern w:val="0"/>
          <w:lang w:val="en-GB" w:eastAsia="en-GB"/>
          <w14:ligatures w14:val="none"/>
        </w:rPr>
        <w:t xml:space="preserve">practical </w:t>
      </w:r>
      <w:r w:rsidRPr="00EB1C34">
        <w:rPr>
          <w:rFonts w:ascii="Times New Roman" w:eastAsia="Times New Roman" w:hAnsi="Times New Roman" w:cs="Times New Roman"/>
          <w:kern w:val="0"/>
          <w:lang w:val="en-GB" w:eastAsia="en-GB"/>
          <w14:ligatures w14:val="none"/>
        </w:rPr>
        <w:t>benefits of each of those delivery modes. But we believe we should expand the concept to include</w:t>
      </w:r>
      <w:r w:rsidR="00BF5E22">
        <w:rPr>
          <w:rFonts w:ascii="Times New Roman" w:eastAsia="Times New Roman" w:hAnsi="Times New Roman" w:cs="Times New Roman"/>
          <w:kern w:val="0"/>
          <w:lang w:val="en-GB" w:eastAsia="en-GB"/>
          <w14:ligatures w14:val="none"/>
        </w:rPr>
        <w:t xml:space="preserve"> blending</w:t>
      </w:r>
      <w:r w:rsidRPr="00EB1C34">
        <w:rPr>
          <w:rFonts w:ascii="Times New Roman" w:eastAsia="Times New Roman" w:hAnsi="Times New Roman" w:cs="Times New Roman"/>
          <w:kern w:val="0"/>
          <w:lang w:val="en-GB" w:eastAsia="en-GB"/>
          <w14:ligatures w14:val="none"/>
        </w:rPr>
        <w:t xml:space="preserve"> other elements for the best learning results. </w:t>
      </w:r>
    </w:p>
    <w:p w14:paraId="38C80A9E" w14:textId="0EC8B3A4" w:rsidR="00BF5E22" w:rsidRDefault="00BF5E22" w:rsidP="00EB1C34">
      <w:pPr>
        <w:spacing w:before="100" w:beforeAutospacing="1" w:after="100" w:afterAutospacing="1"/>
        <w:rPr>
          <w:rFonts w:ascii="Times New Roman" w:eastAsia="Times New Roman" w:hAnsi="Times New Roman" w:cs="Times New Roman"/>
          <w:kern w:val="0"/>
          <w:lang w:val="en-GB" w:eastAsia="en-GB"/>
          <w14:ligatures w14:val="none"/>
        </w:rPr>
      </w:pPr>
      <w:r>
        <w:rPr>
          <w:rFonts w:ascii="Times New Roman" w:eastAsia="Times New Roman" w:hAnsi="Times New Roman" w:cs="Times New Roman"/>
          <w:kern w:val="0"/>
          <w:lang w:val="en-GB" w:eastAsia="en-GB"/>
          <w14:ligatures w14:val="none"/>
        </w:rPr>
        <w:t>W</w:t>
      </w:r>
      <w:r w:rsidR="00EB1C34" w:rsidRPr="00EB1C34">
        <w:rPr>
          <w:rFonts w:ascii="Times New Roman" w:eastAsia="Times New Roman" w:hAnsi="Times New Roman" w:cs="Times New Roman"/>
          <w:kern w:val="0"/>
          <w:lang w:val="en-GB" w:eastAsia="en-GB"/>
          <w14:ligatures w14:val="none"/>
        </w:rPr>
        <w:t>e</w:t>
      </w:r>
      <w:r>
        <w:rPr>
          <w:rFonts w:ascii="Times New Roman" w:eastAsia="Times New Roman" w:hAnsi="Times New Roman" w:cs="Times New Roman"/>
          <w:kern w:val="0"/>
          <w:lang w:val="en-GB" w:eastAsia="en-GB"/>
          <w14:ligatures w14:val="none"/>
        </w:rPr>
        <w:t xml:space="preserve"> suggest</w:t>
      </w:r>
      <w:r w:rsidR="00EB1C34" w:rsidRPr="00EB1C34">
        <w:rPr>
          <w:rFonts w:ascii="Times New Roman" w:eastAsia="Times New Roman" w:hAnsi="Times New Roman" w:cs="Times New Roman"/>
          <w:kern w:val="0"/>
          <w:lang w:val="en-GB" w:eastAsia="en-GB"/>
          <w14:ligatures w14:val="none"/>
        </w:rPr>
        <w:t xml:space="preserve"> the analogy of nutrition to help justify why we think blended learning is valuable to consider. Just as nutritionists recommend having a diet that represents all the food groups in the right proportions, it can be valuable to include a variety of learning approaches. </w:t>
      </w:r>
      <w:r w:rsidR="00217A47">
        <w:rPr>
          <w:rFonts w:ascii="Times New Roman" w:eastAsia="Times New Roman" w:hAnsi="Times New Roman" w:cs="Times New Roman"/>
          <w:kern w:val="0"/>
          <w:lang w:val="en-GB" w:eastAsia="en-GB"/>
          <w14:ligatures w14:val="none"/>
        </w:rPr>
        <w:t>This variety means additional ways for learners to interact with the content, more means of explanation, more ways to practice applying it in more contexts, and the cognitive flexibility to apply it in other ways outside training.</w:t>
      </w:r>
    </w:p>
    <w:p w14:paraId="1E389670" w14:textId="39ABAE93" w:rsidR="00BF5E22" w:rsidRDefault="00176B4B" w:rsidP="00176B4B">
      <w:pPr>
        <w:spacing w:before="100" w:beforeAutospacing="1" w:after="100" w:afterAutospacing="1"/>
        <w:jc w:val="center"/>
      </w:pPr>
      <w:r>
        <w:fldChar w:fldCharType="begin"/>
      </w:r>
      <w:r>
        <w:instrText xml:space="preserve"> INCLUDEPICTURE "https://etrp.wmo.int/pluginfile.php/18014/mod_page/content/10/Food%20groups.jpg" \* MERGEFORMATINET </w:instrText>
      </w:r>
      <w:r>
        <w:fldChar w:fldCharType="separate"/>
      </w:r>
      <w:r>
        <w:rPr>
          <w:noProof/>
        </w:rPr>
        <w:drawing>
          <wp:inline distT="0" distB="0" distL="0" distR="0" wp14:anchorId="0A551226" wp14:editId="56F33B6E">
            <wp:extent cx="2774548" cy="2774548"/>
            <wp:effectExtent l="38100" t="38100" r="83185" b="83185"/>
            <wp:docPr id="276410460" name="Picture 2" descr="A close-up of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10460" name="Picture 2" descr="A close-up of vegetab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06217" cy="2806217"/>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r>
        <w:fldChar w:fldCharType="end"/>
      </w:r>
    </w:p>
    <w:p w14:paraId="22062A2B" w14:textId="033834EB" w:rsidR="00593FB1" w:rsidRPr="00593FB1" w:rsidRDefault="00593FB1" w:rsidP="00593FB1">
      <w:pPr>
        <w:spacing w:before="100" w:beforeAutospacing="1" w:after="100" w:afterAutospacing="1"/>
        <w:rPr>
          <w:rFonts w:ascii="Times New Roman" w:eastAsia="Times New Roman" w:hAnsi="Times New Roman" w:cs="Times New Roman"/>
          <w:kern w:val="0"/>
          <w:lang w:val="en-US" w:eastAsia="en-GB"/>
          <w14:ligatures w14:val="none"/>
        </w:rPr>
      </w:pPr>
      <w:r w:rsidRPr="00593FB1">
        <w:rPr>
          <w:rFonts w:ascii="Times New Roman" w:eastAsia="Times New Roman" w:hAnsi="Times New Roman" w:cs="Times New Roman"/>
          <w:kern w:val="0"/>
          <w:lang w:val="en-US" w:eastAsia="en-GB"/>
          <w14:ligatures w14:val="none"/>
        </w:rPr>
        <w:t xml:space="preserve">Another reason to consider using blended learning approaches is the growing acceptance </w:t>
      </w:r>
      <w:r>
        <w:rPr>
          <w:rFonts w:ascii="Times New Roman" w:eastAsia="Times New Roman" w:hAnsi="Times New Roman" w:cs="Times New Roman"/>
          <w:kern w:val="0"/>
          <w:lang w:val="en-US" w:eastAsia="en-GB"/>
          <w14:ligatures w14:val="none"/>
        </w:rPr>
        <w:t>that learning is not an event, but</w:t>
      </w:r>
      <w:r w:rsidRPr="00593FB1">
        <w:rPr>
          <w:rFonts w:ascii="Times New Roman" w:eastAsia="Times New Roman" w:hAnsi="Times New Roman" w:cs="Times New Roman"/>
          <w:kern w:val="0"/>
          <w:lang w:val="en-US" w:eastAsia="en-GB"/>
          <w14:ligatures w14:val="none"/>
        </w:rPr>
        <w:t xml:space="preserve"> </w:t>
      </w:r>
      <w:r w:rsidR="00A05A7B">
        <w:rPr>
          <w:rFonts w:ascii="Times New Roman" w:eastAsia="Times New Roman" w:hAnsi="Times New Roman" w:cs="Times New Roman"/>
          <w:kern w:val="0"/>
          <w:lang w:val="en-US" w:eastAsia="en-GB"/>
          <w14:ligatures w14:val="none"/>
        </w:rPr>
        <w:t xml:space="preserve">always </w:t>
      </w:r>
      <w:r w:rsidRPr="00593FB1">
        <w:rPr>
          <w:rFonts w:ascii="Times New Roman" w:eastAsia="Times New Roman" w:hAnsi="Times New Roman" w:cs="Times New Roman"/>
          <w:kern w:val="0"/>
          <w:lang w:val="en-US" w:eastAsia="en-GB"/>
          <w14:ligatures w14:val="none"/>
        </w:rPr>
        <w:t xml:space="preserve">a </w:t>
      </w:r>
      <w:r>
        <w:rPr>
          <w:rFonts w:ascii="Times New Roman" w:eastAsia="Times New Roman" w:hAnsi="Times New Roman" w:cs="Times New Roman"/>
          <w:kern w:val="0"/>
          <w:lang w:val="en-US" w:eastAsia="en-GB"/>
          <w14:ligatures w14:val="none"/>
        </w:rPr>
        <w:t>j</w:t>
      </w:r>
      <w:r w:rsidRPr="00593FB1">
        <w:rPr>
          <w:rFonts w:ascii="Times New Roman" w:eastAsia="Times New Roman" w:hAnsi="Times New Roman" w:cs="Times New Roman"/>
          <w:kern w:val="0"/>
          <w:lang w:val="en-US" w:eastAsia="en-GB"/>
          <w14:ligatures w14:val="none"/>
        </w:rPr>
        <w:t xml:space="preserve">ourney. </w:t>
      </w:r>
    </w:p>
    <w:p w14:paraId="618C7721" w14:textId="77777777" w:rsidR="00593FB1" w:rsidRPr="00593FB1" w:rsidRDefault="00593FB1" w:rsidP="00593FB1">
      <w:pPr>
        <w:spacing w:before="100" w:beforeAutospacing="1" w:after="100" w:afterAutospacing="1"/>
        <w:rPr>
          <w:rFonts w:ascii="Times New Roman" w:eastAsia="Times New Roman" w:hAnsi="Times New Roman" w:cs="Times New Roman"/>
          <w:kern w:val="0"/>
          <w:lang w:val="en-US" w:eastAsia="en-GB"/>
          <w14:ligatures w14:val="none"/>
        </w:rPr>
      </w:pPr>
      <w:r w:rsidRPr="00593FB1">
        <w:rPr>
          <w:rFonts w:ascii="Times New Roman" w:eastAsia="Times New Roman" w:hAnsi="Times New Roman" w:cs="Times New Roman"/>
          <w:kern w:val="0"/>
          <w:lang w:val="en-US" w:eastAsia="en-GB"/>
          <w14:ligatures w14:val="none"/>
        </w:rPr>
        <w:t>The concept of a learning journey recognizes that learning does not start and stop with an isolated learning opportunity or event, and that viewing learning as taking place over a greater period can be of great benefit. The journey metaphor also implies a few additional considerations for planning sessions, beyond sequencing content and activities. For example:</w:t>
      </w:r>
    </w:p>
    <w:p w14:paraId="64C32014" w14:textId="77777777" w:rsidR="00593FB1" w:rsidRPr="00593FB1" w:rsidRDefault="00593FB1" w:rsidP="00593FB1">
      <w:pPr>
        <w:spacing w:before="100" w:beforeAutospacing="1" w:after="100" w:afterAutospacing="1"/>
        <w:rPr>
          <w:rFonts w:ascii="Times New Roman" w:eastAsia="Times New Roman" w:hAnsi="Times New Roman" w:cs="Times New Roman"/>
          <w:kern w:val="0"/>
          <w:lang w:val="en-US" w:eastAsia="en-GB"/>
          <w14:ligatures w14:val="none"/>
        </w:rPr>
      </w:pPr>
    </w:p>
    <w:p w14:paraId="55DCD27B" w14:textId="4CD1B6CF" w:rsidR="00593FB1" w:rsidRPr="00421873" w:rsidRDefault="00593FB1" w:rsidP="00421873">
      <w:pPr>
        <w:pStyle w:val="ListParagraph"/>
        <w:numPr>
          <w:ilvl w:val="0"/>
          <w:numId w:val="2"/>
        </w:numPr>
        <w:spacing w:before="100" w:beforeAutospacing="1" w:after="100" w:afterAutospacing="1"/>
        <w:rPr>
          <w:rFonts w:ascii="Times New Roman" w:eastAsia="Times New Roman" w:hAnsi="Times New Roman" w:cs="Times New Roman"/>
          <w:kern w:val="0"/>
          <w:lang w:val="en-US" w:eastAsia="en-GB"/>
          <w14:ligatures w14:val="none"/>
        </w:rPr>
      </w:pPr>
      <w:r w:rsidRPr="00421873">
        <w:rPr>
          <w:rFonts w:ascii="Times New Roman" w:eastAsia="Times New Roman" w:hAnsi="Times New Roman" w:cs="Times New Roman"/>
          <w:kern w:val="0"/>
          <w:lang w:val="en-US" w:eastAsia="en-GB"/>
          <w14:ligatures w14:val="none"/>
        </w:rPr>
        <w:t xml:space="preserve">Learning requires building upon prior knowledge, </w:t>
      </w:r>
      <w:r w:rsidR="00421873" w:rsidRPr="00421873">
        <w:rPr>
          <w:rFonts w:ascii="Times New Roman" w:eastAsia="Times New Roman" w:hAnsi="Times New Roman" w:cs="Times New Roman"/>
          <w:kern w:val="0"/>
          <w:lang w:val="en-US" w:eastAsia="en-GB"/>
          <w14:ligatures w14:val="none"/>
        </w:rPr>
        <w:t>adding to or adapting what is already known, not starting with a blank slate. T</w:t>
      </w:r>
      <w:r w:rsidRPr="00421873">
        <w:rPr>
          <w:rFonts w:ascii="Times New Roman" w:eastAsia="Times New Roman" w:hAnsi="Times New Roman" w:cs="Times New Roman"/>
          <w:kern w:val="0"/>
          <w:lang w:val="en-US" w:eastAsia="en-GB"/>
          <w14:ligatures w14:val="none"/>
        </w:rPr>
        <w:t xml:space="preserve">he learning journey can be expanded BEFORE core events by asking </w:t>
      </w:r>
      <w:r w:rsidR="00421873" w:rsidRPr="00421873">
        <w:rPr>
          <w:rFonts w:ascii="Times New Roman" w:eastAsia="Times New Roman" w:hAnsi="Times New Roman" w:cs="Times New Roman"/>
          <w:kern w:val="0"/>
          <w:lang w:val="en-US" w:eastAsia="en-GB"/>
          <w14:ligatures w14:val="none"/>
        </w:rPr>
        <w:t>participants to complete</w:t>
      </w:r>
      <w:r w:rsidRPr="00421873">
        <w:rPr>
          <w:rFonts w:ascii="Times New Roman" w:eastAsia="Times New Roman" w:hAnsi="Times New Roman" w:cs="Times New Roman"/>
          <w:kern w:val="0"/>
          <w:lang w:val="en-US" w:eastAsia="en-GB"/>
          <w14:ligatures w14:val="none"/>
        </w:rPr>
        <w:t xml:space="preserve"> self-directed learning or preparatory project work to prepare for the experience. This can </w:t>
      </w:r>
      <w:r w:rsidR="00421873" w:rsidRPr="00421873">
        <w:rPr>
          <w:rFonts w:ascii="Times New Roman" w:eastAsia="Times New Roman" w:hAnsi="Times New Roman" w:cs="Times New Roman"/>
          <w:kern w:val="0"/>
          <w:lang w:val="en-US" w:eastAsia="en-GB"/>
          <w14:ligatures w14:val="none"/>
        </w:rPr>
        <w:t xml:space="preserve">also </w:t>
      </w:r>
      <w:r w:rsidRPr="00421873">
        <w:rPr>
          <w:rFonts w:ascii="Times New Roman" w:eastAsia="Times New Roman" w:hAnsi="Times New Roman" w:cs="Times New Roman"/>
          <w:kern w:val="0"/>
          <w:lang w:val="en-US" w:eastAsia="en-GB"/>
          <w14:ligatures w14:val="none"/>
        </w:rPr>
        <w:t xml:space="preserve">help to bring all learners to a similar starting level. </w:t>
      </w:r>
    </w:p>
    <w:p w14:paraId="2D56E19C" w14:textId="77777777" w:rsidR="00421873" w:rsidRPr="00421873" w:rsidRDefault="00421873" w:rsidP="00421873">
      <w:pPr>
        <w:pStyle w:val="ListParagraph"/>
        <w:numPr>
          <w:ilvl w:val="0"/>
          <w:numId w:val="2"/>
        </w:numPr>
        <w:spacing w:before="100" w:beforeAutospacing="1" w:after="100" w:afterAutospacing="1"/>
        <w:rPr>
          <w:rFonts w:ascii="Times New Roman" w:eastAsia="Times New Roman" w:hAnsi="Times New Roman" w:cs="Times New Roman"/>
          <w:kern w:val="0"/>
          <w:lang w:val="en-US" w:eastAsia="en-GB"/>
          <w14:ligatures w14:val="none"/>
        </w:rPr>
      </w:pPr>
      <w:r w:rsidRPr="00421873">
        <w:rPr>
          <w:rFonts w:ascii="Times New Roman" w:eastAsia="Times New Roman" w:hAnsi="Times New Roman" w:cs="Times New Roman"/>
          <w:kern w:val="0"/>
          <w:lang w:val="en-US" w:eastAsia="en-GB"/>
          <w14:ligatures w14:val="none"/>
        </w:rPr>
        <w:t>The learning should BEGIN by gaining a commitment to learn. This can be accomplished through a self-assessment against competencies or other standards to identify performance gaps, through establishing personal learning goals, and even by requiring the signing of a learning “contract” to follow through on all phases of the journey.</w:t>
      </w:r>
    </w:p>
    <w:p w14:paraId="3987B121" w14:textId="04FBC0FD" w:rsidR="00593FB1" w:rsidRPr="00421873" w:rsidRDefault="00593FB1" w:rsidP="00421873">
      <w:pPr>
        <w:pStyle w:val="ListParagraph"/>
        <w:numPr>
          <w:ilvl w:val="0"/>
          <w:numId w:val="2"/>
        </w:numPr>
        <w:spacing w:before="100" w:beforeAutospacing="1" w:after="100" w:afterAutospacing="1"/>
        <w:rPr>
          <w:rFonts w:ascii="Times New Roman" w:eastAsia="Times New Roman" w:hAnsi="Times New Roman" w:cs="Times New Roman"/>
          <w:kern w:val="0"/>
          <w:lang w:val="en-US" w:eastAsia="en-GB"/>
          <w14:ligatures w14:val="none"/>
        </w:rPr>
      </w:pPr>
      <w:r w:rsidRPr="00421873">
        <w:rPr>
          <w:rFonts w:ascii="Times New Roman" w:eastAsia="Times New Roman" w:hAnsi="Times New Roman" w:cs="Times New Roman"/>
          <w:kern w:val="0"/>
          <w:lang w:val="en-US" w:eastAsia="en-GB"/>
          <w14:ligatures w14:val="none"/>
        </w:rPr>
        <w:t>Learning should continue AFTER the core events to require reporting</w:t>
      </w:r>
      <w:r w:rsidR="00421873" w:rsidRPr="00421873">
        <w:rPr>
          <w:rFonts w:ascii="Times New Roman" w:eastAsia="Times New Roman" w:hAnsi="Times New Roman" w:cs="Times New Roman"/>
          <w:kern w:val="0"/>
          <w:lang w:val="en-US" w:eastAsia="en-GB"/>
          <w14:ligatures w14:val="none"/>
        </w:rPr>
        <w:t xml:space="preserve"> or </w:t>
      </w:r>
      <w:r w:rsidRPr="00421873">
        <w:rPr>
          <w:rFonts w:ascii="Times New Roman" w:eastAsia="Times New Roman" w:hAnsi="Times New Roman" w:cs="Times New Roman"/>
          <w:kern w:val="0"/>
          <w:lang w:val="en-US" w:eastAsia="en-GB"/>
          <w14:ligatures w14:val="none"/>
        </w:rPr>
        <w:t xml:space="preserve">reflecting on the experience of applying of what was learned on the job. This might be done during an Impact Evaluation, for example (see Chapter 8). </w:t>
      </w:r>
    </w:p>
    <w:p w14:paraId="7ADFE6FF" w14:textId="7DFFC307" w:rsidR="00593FB1" w:rsidRPr="00421873" w:rsidRDefault="00593FB1" w:rsidP="00421873">
      <w:pPr>
        <w:pStyle w:val="ListParagraph"/>
        <w:numPr>
          <w:ilvl w:val="0"/>
          <w:numId w:val="2"/>
        </w:numPr>
        <w:spacing w:before="100" w:beforeAutospacing="1" w:after="100" w:afterAutospacing="1"/>
        <w:rPr>
          <w:rFonts w:ascii="Times New Roman" w:eastAsia="Times New Roman" w:hAnsi="Times New Roman" w:cs="Times New Roman"/>
          <w:kern w:val="0"/>
          <w:lang w:val="en-US" w:eastAsia="en-GB"/>
          <w14:ligatures w14:val="none"/>
        </w:rPr>
      </w:pPr>
      <w:r w:rsidRPr="00421873">
        <w:rPr>
          <w:rFonts w:ascii="Times New Roman" w:eastAsia="Times New Roman" w:hAnsi="Times New Roman" w:cs="Times New Roman"/>
          <w:kern w:val="0"/>
          <w:lang w:val="en-US" w:eastAsia="en-GB"/>
          <w14:ligatures w14:val="none"/>
        </w:rPr>
        <w:t xml:space="preserve">Learning can continue AFTER core events by promoting on-the-job experiences that </w:t>
      </w:r>
      <w:r w:rsidR="00421873" w:rsidRPr="00421873">
        <w:rPr>
          <w:rFonts w:ascii="Times New Roman" w:eastAsia="Times New Roman" w:hAnsi="Times New Roman" w:cs="Times New Roman"/>
          <w:kern w:val="0"/>
          <w:lang w:val="en-US" w:eastAsia="en-GB"/>
          <w14:ligatures w14:val="none"/>
        </w:rPr>
        <w:t xml:space="preserve">include interactions with </w:t>
      </w:r>
      <w:r w:rsidRPr="00421873">
        <w:rPr>
          <w:rFonts w:ascii="Times New Roman" w:eastAsia="Times New Roman" w:hAnsi="Times New Roman" w:cs="Times New Roman"/>
          <w:kern w:val="0"/>
          <w:lang w:val="en-US" w:eastAsia="en-GB"/>
          <w14:ligatures w14:val="none"/>
        </w:rPr>
        <w:t xml:space="preserve">managers and colleagues to provide reflection and feedback, as well as self-reflection and checking against job aids </w:t>
      </w:r>
      <w:r w:rsidR="00421873" w:rsidRPr="00421873">
        <w:rPr>
          <w:rFonts w:ascii="Times New Roman" w:eastAsia="Times New Roman" w:hAnsi="Times New Roman" w:cs="Times New Roman"/>
          <w:kern w:val="0"/>
          <w:lang w:val="en-US" w:eastAsia="en-GB"/>
          <w14:ligatures w14:val="none"/>
        </w:rPr>
        <w:t>that trainers might</w:t>
      </w:r>
      <w:r w:rsidRPr="00421873">
        <w:rPr>
          <w:rFonts w:ascii="Times New Roman" w:eastAsia="Times New Roman" w:hAnsi="Times New Roman" w:cs="Times New Roman"/>
          <w:kern w:val="0"/>
          <w:lang w:val="en-US" w:eastAsia="en-GB"/>
          <w14:ligatures w14:val="none"/>
        </w:rPr>
        <w:t xml:space="preserve"> provide.</w:t>
      </w:r>
    </w:p>
    <w:p w14:paraId="7FDA6E7A" w14:textId="6D4C2BC8"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w:t>
      </w:r>
    </w:p>
    <w:p w14:paraId="79CD3527" w14:textId="6201C50A"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Below, you can see a list of the </w:t>
      </w:r>
      <w:r w:rsidR="00870005">
        <w:rPr>
          <w:rFonts w:ascii="Times New Roman" w:eastAsia="Times New Roman" w:hAnsi="Times New Roman" w:cs="Times New Roman"/>
          <w:kern w:val="0"/>
          <w:lang w:val="en-GB" w:eastAsia="en-GB"/>
          <w14:ligatures w14:val="none"/>
        </w:rPr>
        <w:t>elements</w:t>
      </w:r>
      <w:r w:rsidRPr="00EB1C34">
        <w:rPr>
          <w:rFonts w:ascii="Times New Roman" w:eastAsia="Times New Roman" w:hAnsi="Times New Roman" w:cs="Times New Roman"/>
          <w:kern w:val="0"/>
          <w:lang w:val="en-GB" w:eastAsia="en-GB"/>
          <w14:ligatures w14:val="none"/>
        </w:rPr>
        <w:t xml:space="preserve"> of any planned learning event. These </w:t>
      </w:r>
      <w:r w:rsidR="00870005">
        <w:rPr>
          <w:rFonts w:ascii="Times New Roman" w:eastAsia="Times New Roman" w:hAnsi="Times New Roman" w:cs="Times New Roman"/>
          <w:kern w:val="0"/>
          <w:lang w:val="en-GB" w:eastAsia="en-GB"/>
          <w14:ligatures w14:val="none"/>
        </w:rPr>
        <w:t>are all</w:t>
      </w:r>
      <w:r w:rsidRPr="00EB1C34">
        <w:rPr>
          <w:rFonts w:ascii="Times New Roman" w:eastAsia="Times New Roman" w:hAnsi="Times New Roman" w:cs="Times New Roman"/>
          <w:kern w:val="0"/>
          <w:lang w:val="en-GB" w:eastAsia="en-GB"/>
          <w14:ligatures w14:val="none"/>
        </w:rPr>
        <w:t xml:space="preserve"> explained more completely in </w:t>
      </w:r>
      <w:r w:rsidR="00870005">
        <w:rPr>
          <w:rFonts w:ascii="Times New Roman" w:eastAsia="Times New Roman" w:hAnsi="Times New Roman" w:cs="Times New Roman"/>
          <w:kern w:val="0"/>
          <w:lang w:val="en-GB" w:eastAsia="en-GB"/>
          <w14:ligatures w14:val="none"/>
        </w:rPr>
        <w:t>additional resources</w:t>
      </w:r>
      <w:r w:rsidRPr="00EB1C34">
        <w:rPr>
          <w:rFonts w:ascii="Times New Roman" w:eastAsia="Times New Roman" w:hAnsi="Times New Roman" w:cs="Times New Roman"/>
          <w:kern w:val="0"/>
          <w:lang w:val="en-GB" w:eastAsia="en-GB"/>
          <w14:ligatures w14:val="none"/>
        </w:rPr>
        <w:t xml:space="preserve">. </w:t>
      </w:r>
      <w:r w:rsidR="00870005">
        <w:rPr>
          <w:rFonts w:ascii="Times New Roman" w:eastAsia="Times New Roman" w:hAnsi="Times New Roman" w:cs="Times New Roman"/>
          <w:kern w:val="0"/>
          <w:lang w:val="en-GB" w:eastAsia="en-GB"/>
          <w14:ligatures w14:val="none"/>
        </w:rPr>
        <w:t>The i</w:t>
      </w:r>
      <w:r w:rsidRPr="00EB1C34">
        <w:rPr>
          <w:rFonts w:ascii="Times New Roman" w:eastAsia="Times New Roman" w:hAnsi="Times New Roman" w:cs="Times New Roman"/>
          <w:kern w:val="0"/>
          <w:lang w:val="en-GB" w:eastAsia="en-GB"/>
          <w14:ligatures w14:val="none"/>
        </w:rPr>
        <w:t xml:space="preserve">mage </w:t>
      </w:r>
      <w:r w:rsidR="00870005">
        <w:rPr>
          <w:rFonts w:ascii="Times New Roman" w:eastAsia="Times New Roman" w:hAnsi="Times New Roman" w:cs="Times New Roman"/>
          <w:kern w:val="0"/>
          <w:lang w:val="en-GB" w:eastAsia="en-GB"/>
          <w14:ligatures w14:val="none"/>
        </w:rPr>
        <w:t>that follows summarizes the elements</w:t>
      </w:r>
      <w:r w:rsidRPr="00EB1C34">
        <w:rPr>
          <w:rFonts w:ascii="Times New Roman" w:eastAsia="Times New Roman" w:hAnsi="Times New Roman" w:cs="Times New Roman"/>
          <w:kern w:val="0"/>
          <w:lang w:val="en-GB" w:eastAsia="en-GB"/>
          <w14:ligatures w14:val="none"/>
        </w:rPr>
        <w:t>.   </w:t>
      </w:r>
    </w:p>
    <w:p w14:paraId="507D1C84" w14:textId="77777777"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The first attribute that can be blended is the </w:t>
      </w:r>
      <w:r w:rsidRPr="00EB1C34">
        <w:rPr>
          <w:rFonts w:ascii="Times New Roman" w:eastAsia="Times New Roman" w:hAnsi="Times New Roman" w:cs="Times New Roman"/>
          <w:b/>
          <w:bCs/>
          <w:kern w:val="0"/>
          <w:lang w:val="en-GB" w:eastAsia="en-GB"/>
          <w14:ligatures w14:val="none"/>
        </w:rPr>
        <w:t>learning solution</w:t>
      </w:r>
      <w:r w:rsidRPr="00EB1C34">
        <w:rPr>
          <w:rFonts w:ascii="Times New Roman" w:eastAsia="Times New Roman" w:hAnsi="Times New Roman" w:cs="Times New Roman"/>
          <w:kern w:val="0"/>
          <w:lang w:val="en-GB" w:eastAsia="en-GB"/>
          <w14:ligatures w14:val="none"/>
        </w:rPr>
        <w:t xml:space="preserve">—or whether the training is done in a formal course, with a start and end date, or using informal means, such as on-the-job coaching and mentoring or self-directed learning. </w:t>
      </w:r>
    </w:p>
    <w:p w14:paraId="6ABBDDD3" w14:textId="04A926FF"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The second element is the </w:t>
      </w:r>
      <w:r w:rsidRPr="00EB1C34">
        <w:rPr>
          <w:rFonts w:ascii="Times New Roman" w:eastAsia="Times New Roman" w:hAnsi="Times New Roman" w:cs="Times New Roman"/>
          <w:b/>
          <w:bCs/>
          <w:kern w:val="0"/>
          <w:lang w:val="en-GB" w:eastAsia="en-GB"/>
          <w14:ligatures w14:val="none"/>
        </w:rPr>
        <w:t>delivery mode</w:t>
      </w:r>
      <w:r w:rsidRPr="00EB1C34">
        <w:rPr>
          <w:rFonts w:ascii="Times New Roman" w:eastAsia="Times New Roman" w:hAnsi="Times New Roman" w:cs="Times New Roman"/>
          <w:kern w:val="0"/>
          <w:lang w:val="en-GB" w:eastAsia="en-GB"/>
          <w14:ligatures w14:val="none"/>
        </w:rPr>
        <w:t xml:space="preserve">—what is usually </w:t>
      </w:r>
      <w:r w:rsidR="00EC6778">
        <w:rPr>
          <w:rFonts w:ascii="Times New Roman" w:eastAsia="Times New Roman" w:hAnsi="Times New Roman" w:cs="Times New Roman"/>
          <w:kern w:val="0"/>
          <w:lang w:val="en-GB" w:eastAsia="en-GB"/>
          <w14:ligatures w14:val="none"/>
        </w:rPr>
        <w:t xml:space="preserve">what is </w:t>
      </w:r>
      <w:r w:rsidRPr="00EB1C34">
        <w:rPr>
          <w:rFonts w:ascii="Times New Roman" w:eastAsia="Times New Roman" w:hAnsi="Times New Roman" w:cs="Times New Roman"/>
          <w:kern w:val="0"/>
          <w:lang w:val="en-GB" w:eastAsia="en-GB"/>
          <w14:ligatures w14:val="none"/>
        </w:rPr>
        <w:t>meant to be blended in “blended learning</w:t>
      </w:r>
      <w:r w:rsidR="00EC6778">
        <w:rPr>
          <w:rFonts w:ascii="Times New Roman" w:eastAsia="Times New Roman" w:hAnsi="Times New Roman" w:cs="Times New Roman"/>
          <w:kern w:val="0"/>
          <w:lang w:val="en-GB" w:eastAsia="en-GB"/>
          <w14:ligatures w14:val="none"/>
        </w:rPr>
        <w:t>.</w:t>
      </w:r>
      <w:r w:rsidRPr="00EB1C34">
        <w:rPr>
          <w:rFonts w:ascii="Times New Roman" w:eastAsia="Times New Roman" w:hAnsi="Times New Roman" w:cs="Times New Roman"/>
          <w:kern w:val="0"/>
          <w:lang w:val="en-GB" w:eastAsia="en-GB"/>
          <w14:ligatures w14:val="none"/>
        </w:rPr>
        <w:t xml:space="preserve">” Here, we are speaking about </w:t>
      </w:r>
      <w:r w:rsidR="00EC6778">
        <w:rPr>
          <w:rFonts w:ascii="Times New Roman" w:eastAsia="Times New Roman" w:hAnsi="Times New Roman" w:cs="Times New Roman"/>
          <w:kern w:val="0"/>
          <w:lang w:val="en-GB" w:eastAsia="en-GB"/>
          <w14:ligatures w14:val="none"/>
        </w:rPr>
        <w:t xml:space="preserve">whether learning takes place in </w:t>
      </w:r>
      <w:r w:rsidRPr="00EB1C34">
        <w:rPr>
          <w:rFonts w:ascii="Times New Roman" w:eastAsia="Times New Roman" w:hAnsi="Times New Roman" w:cs="Times New Roman"/>
          <w:kern w:val="0"/>
          <w:lang w:val="en-GB" w:eastAsia="en-GB"/>
          <w14:ligatures w14:val="none"/>
        </w:rPr>
        <w:t xml:space="preserve">classroom, on-line, or on-the-job environments. </w:t>
      </w:r>
    </w:p>
    <w:p w14:paraId="4439DABE" w14:textId="77777777"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Third, we can blend </w:t>
      </w:r>
      <w:r w:rsidRPr="00EB1C34">
        <w:rPr>
          <w:rFonts w:ascii="Times New Roman" w:eastAsia="Times New Roman" w:hAnsi="Times New Roman" w:cs="Times New Roman"/>
          <w:b/>
          <w:bCs/>
          <w:kern w:val="0"/>
          <w:lang w:val="en-GB" w:eastAsia="en-GB"/>
          <w14:ligatures w14:val="none"/>
        </w:rPr>
        <w:t>learning strategies</w:t>
      </w:r>
      <w:r w:rsidRPr="00EB1C34">
        <w:rPr>
          <w:rFonts w:ascii="Times New Roman" w:eastAsia="Times New Roman" w:hAnsi="Times New Roman" w:cs="Times New Roman"/>
          <w:kern w:val="0"/>
          <w:lang w:val="en-GB" w:eastAsia="en-GB"/>
          <w14:ligatures w14:val="none"/>
        </w:rPr>
        <w:t xml:space="preserve">, or the general themes that guide how training is conducted—such as lectures, readings, discussions, exercises, projects, and more. Each of these has many variations. </w:t>
      </w:r>
    </w:p>
    <w:p w14:paraId="7A8984DC" w14:textId="706EA2AF"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Fourth, we can blend </w:t>
      </w:r>
      <w:r w:rsidRPr="00EB1C34">
        <w:rPr>
          <w:rFonts w:ascii="Times New Roman" w:eastAsia="Times New Roman" w:hAnsi="Times New Roman" w:cs="Times New Roman"/>
          <w:b/>
          <w:bCs/>
          <w:kern w:val="0"/>
          <w:lang w:val="en-GB" w:eastAsia="en-GB"/>
          <w14:ligatures w14:val="none"/>
        </w:rPr>
        <w:t>learning activities</w:t>
      </w:r>
      <w:r w:rsidRPr="00EB1C34">
        <w:rPr>
          <w:rFonts w:ascii="Times New Roman" w:eastAsia="Times New Roman" w:hAnsi="Times New Roman" w:cs="Times New Roman"/>
          <w:kern w:val="0"/>
          <w:lang w:val="en-GB" w:eastAsia="en-GB"/>
          <w14:ligatures w14:val="none"/>
        </w:rPr>
        <w:t xml:space="preserve">, which are specific ways of implementing </w:t>
      </w:r>
      <w:r w:rsidR="00EC6778">
        <w:rPr>
          <w:rFonts w:ascii="Times New Roman" w:eastAsia="Times New Roman" w:hAnsi="Times New Roman" w:cs="Times New Roman"/>
          <w:kern w:val="0"/>
          <w:lang w:val="en-GB" w:eastAsia="en-GB"/>
          <w14:ligatures w14:val="none"/>
        </w:rPr>
        <w:t xml:space="preserve">interactive </w:t>
      </w:r>
      <w:r w:rsidRPr="00EB1C34">
        <w:rPr>
          <w:rFonts w:ascii="Times New Roman" w:eastAsia="Times New Roman" w:hAnsi="Times New Roman" w:cs="Times New Roman"/>
          <w:kern w:val="0"/>
          <w:lang w:val="en-GB" w:eastAsia="en-GB"/>
          <w14:ligatures w14:val="none"/>
        </w:rPr>
        <w:t>learning strategies. These can number in the hundreds, but they include questions</w:t>
      </w:r>
      <w:r w:rsidR="00EC6778">
        <w:rPr>
          <w:rFonts w:ascii="Times New Roman" w:eastAsia="Times New Roman" w:hAnsi="Times New Roman" w:cs="Times New Roman"/>
          <w:kern w:val="0"/>
          <w:lang w:val="en-GB" w:eastAsia="en-GB"/>
          <w14:ligatures w14:val="none"/>
        </w:rPr>
        <w:t xml:space="preserve"> and problems</w:t>
      </w:r>
      <w:r w:rsidRPr="00EB1C34">
        <w:rPr>
          <w:rFonts w:ascii="Times New Roman" w:eastAsia="Times New Roman" w:hAnsi="Times New Roman" w:cs="Times New Roman"/>
          <w:kern w:val="0"/>
          <w:lang w:val="en-GB" w:eastAsia="en-GB"/>
          <w14:ligatures w14:val="none"/>
        </w:rPr>
        <w:t>, demonstrat</w:t>
      </w:r>
      <w:r w:rsidR="00EC6778">
        <w:rPr>
          <w:rFonts w:ascii="Times New Roman" w:eastAsia="Times New Roman" w:hAnsi="Times New Roman" w:cs="Times New Roman"/>
          <w:kern w:val="0"/>
          <w:lang w:val="en-GB" w:eastAsia="en-GB"/>
          <w14:ligatures w14:val="none"/>
        </w:rPr>
        <w:t>ions</w:t>
      </w:r>
      <w:r w:rsidRPr="00EB1C34">
        <w:rPr>
          <w:rFonts w:ascii="Times New Roman" w:eastAsia="Times New Roman" w:hAnsi="Times New Roman" w:cs="Times New Roman"/>
          <w:kern w:val="0"/>
          <w:lang w:val="en-GB" w:eastAsia="en-GB"/>
          <w14:ligatures w14:val="none"/>
        </w:rPr>
        <w:t xml:space="preserve">, many types of discussions, tutorials, games, and simulations, to name </w:t>
      </w:r>
      <w:r w:rsidR="00EC6778">
        <w:rPr>
          <w:rFonts w:ascii="Times New Roman" w:eastAsia="Times New Roman" w:hAnsi="Times New Roman" w:cs="Times New Roman"/>
          <w:kern w:val="0"/>
          <w:lang w:val="en-GB" w:eastAsia="en-GB"/>
          <w14:ligatures w14:val="none"/>
        </w:rPr>
        <w:t xml:space="preserve">just </w:t>
      </w:r>
      <w:r w:rsidRPr="00EB1C34">
        <w:rPr>
          <w:rFonts w:ascii="Times New Roman" w:eastAsia="Times New Roman" w:hAnsi="Times New Roman" w:cs="Times New Roman"/>
          <w:kern w:val="0"/>
          <w:lang w:val="en-GB" w:eastAsia="en-GB"/>
          <w14:ligatures w14:val="none"/>
        </w:rPr>
        <w:t xml:space="preserve">a few of the more common learning activities. </w:t>
      </w:r>
    </w:p>
    <w:p w14:paraId="08BAE3F6" w14:textId="2DB999B7" w:rsidR="00EB1C34" w:rsidRPr="00EB1C34" w:rsidRDefault="00EB1C34" w:rsidP="00EB1C34">
      <w:pPr>
        <w:spacing w:before="100" w:beforeAutospacing="1" w:after="100" w:afterAutospacing="1"/>
        <w:rPr>
          <w:rFonts w:ascii="Times New Roman" w:eastAsia="Times New Roman" w:hAnsi="Times New Roman" w:cs="Times New Roman"/>
          <w:kern w:val="0"/>
          <w:lang w:eastAsia="en-GB"/>
          <w14:ligatures w14:val="none"/>
        </w:rPr>
      </w:pPr>
      <w:r w:rsidRPr="00EB1C34">
        <w:rPr>
          <w:rFonts w:ascii="Times New Roman" w:eastAsia="Times New Roman" w:hAnsi="Times New Roman" w:cs="Times New Roman"/>
          <w:kern w:val="0"/>
          <w:lang w:val="en-GB" w:eastAsia="en-GB"/>
          <w14:ligatures w14:val="none"/>
        </w:rPr>
        <w:t xml:space="preserve">Finally, learning activities can be conducted using a variety of </w:t>
      </w:r>
      <w:r w:rsidRPr="00EB1C34">
        <w:rPr>
          <w:rFonts w:ascii="Times New Roman" w:eastAsia="Times New Roman" w:hAnsi="Times New Roman" w:cs="Times New Roman"/>
          <w:b/>
          <w:bCs/>
          <w:kern w:val="0"/>
          <w:lang w:val="en-GB" w:eastAsia="en-GB"/>
          <w14:ligatures w14:val="none"/>
        </w:rPr>
        <w:t>interaction modes</w:t>
      </w:r>
      <w:r w:rsidRPr="00EB1C34">
        <w:rPr>
          <w:rFonts w:ascii="Times New Roman" w:eastAsia="Times New Roman" w:hAnsi="Times New Roman" w:cs="Times New Roman"/>
          <w:kern w:val="0"/>
          <w:lang w:val="en-GB" w:eastAsia="en-GB"/>
          <w14:ligatures w14:val="none"/>
        </w:rPr>
        <w:t xml:space="preserve">. This can refer to using different sizes of groups—such as the full class, small groups, or individual learning. It also means a bit more than this, such as HOW the learner interacts </w:t>
      </w:r>
      <w:r w:rsidR="002A148F">
        <w:rPr>
          <w:rFonts w:ascii="Times New Roman" w:eastAsia="Times New Roman" w:hAnsi="Times New Roman" w:cs="Times New Roman"/>
          <w:kern w:val="0"/>
          <w:lang w:val="en-GB" w:eastAsia="en-GB"/>
          <w14:ligatures w14:val="none"/>
        </w:rPr>
        <w:t>with others and with the learning content</w:t>
      </w:r>
      <w:r w:rsidRPr="00EB1C34">
        <w:rPr>
          <w:rFonts w:ascii="Times New Roman" w:eastAsia="Times New Roman" w:hAnsi="Times New Roman" w:cs="Times New Roman"/>
          <w:kern w:val="0"/>
          <w:lang w:val="en-GB" w:eastAsia="en-GB"/>
          <w14:ligatures w14:val="none"/>
        </w:rPr>
        <w:t xml:space="preserve">. </w:t>
      </w:r>
    </w:p>
    <w:p w14:paraId="594CD661" w14:textId="6B2BC104" w:rsidR="004408E2" w:rsidRDefault="00EB1C34" w:rsidP="00EB1C34">
      <w:pPr>
        <w:rPr>
          <w:rFonts w:ascii="Times New Roman" w:eastAsia="Times New Roman" w:hAnsi="Times New Roman" w:cs="Times New Roman"/>
          <w:kern w:val="0"/>
          <w:lang w:val="en-GB" w:eastAsia="en-GB"/>
          <w14:ligatures w14:val="none"/>
        </w:rPr>
      </w:pPr>
      <w:r w:rsidRPr="00EB1C34">
        <w:rPr>
          <w:rFonts w:ascii="Times New Roman" w:eastAsia="Times New Roman" w:hAnsi="Times New Roman" w:cs="Times New Roman"/>
          <w:kern w:val="0"/>
          <w:lang w:val="en-GB" w:eastAsia="en-GB"/>
          <w14:ligatures w14:val="none"/>
        </w:rPr>
        <w:lastRenderedPageBreak/>
        <w:t>So, you can see there are a lot of ways we can mix things up in teaching and training. And this is good. Students need a nutritious and tasty learning experience, and that requires variety.</w:t>
      </w:r>
      <w:r w:rsidR="00217A47">
        <w:rPr>
          <w:rFonts w:ascii="Times New Roman" w:eastAsia="Times New Roman" w:hAnsi="Times New Roman" w:cs="Times New Roman"/>
          <w:kern w:val="0"/>
          <w:lang w:val="en-GB" w:eastAsia="en-GB"/>
          <w14:ligatures w14:val="none"/>
        </w:rPr>
        <w:t xml:space="preserve"> It makes them more hardy and ready for the complexities of the real world.</w:t>
      </w:r>
    </w:p>
    <w:p w14:paraId="00C15DF7" w14:textId="77777777" w:rsidR="00176B4B" w:rsidRDefault="00176B4B" w:rsidP="00EB1C34">
      <w:pPr>
        <w:rPr>
          <w:rFonts w:ascii="Times New Roman" w:eastAsia="Times New Roman" w:hAnsi="Times New Roman" w:cs="Times New Roman"/>
          <w:kern w:val="0"/>
          <w:lang w:val="en-GB" w:eastAsia="en-GB"/>
          <w14:ligatures w14:val="none"/>
        </w:rPr>
      </w:pPr>
    </w:p>
    <w:p w14:paraId="167F08D2" w14:textId="779F955F" w:rsidR="00176B4B" w:rsidRDefault="00176B4B" w:rsidP="00217A47">
      <w:pPr>
        <w:jc w:val="center"/>
      </w:pPr>
      <w:r>
        <w:rPr>
          <w:noProof/>
        </w:rPr>
        <w:drawing>
          <wp:inline distT="0" distB="0" distL="0" distR="0" wp14:anchorId="40324C12" wp14:editId="5B28ABE1">
            <wp:extent cx="5118691" cy="4121153"/>
            <wp:effectExtent l="38100" t="38100" r="88900" b="82550"/>
            <wp:docPr id="298513839" name="Picture 3" descr="A diagram of a learn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13839" name="Picture 3" descr="A diagram of a learning proces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41832" cy="4139784"/>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sectPr w:rsidR="00176B4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AB72" w14:textId="77777777" w:rsidR="009A401D" w:rsidRDefault="009A401D" w:rsidP="00A553C8">
      <w:r>
        <w:separator/>
      </w:r>
    </w:p>
  </w:endnote>
  <w:endnote w:type="continuationSeparator" w:id="0">
    <w:p w14:paraId="3791FA3D" w14:textId="77777777" w:rsidR="009A401D" w:rsidRDefault="009A401D" w:rsidP="00A5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2"/>
    </w:tblGrid>
    <w:tr w:rsidR="00A553C8" w14:paraId="739D0F2D" w14:textId="77777777" w:rsidTr="003D53D2">
      <w:tc>
        <w:tcPr>
          <w:tcW w:w="4788" w:type="dxa"/>
          <w:tcMar>
            <w:top w:w="113" w:type="dxa"/>
          </w:tcMar>
        </w:tcPr>
        <w:p w14:paraId="30191BD0" w14:textId="3EDA8486" w:rsidR="00A553C8" w:rsidRDefault="00A553C8" w:rsidP="00A553C8">
          <w:pPr>
            <w:pStyle w:val="Footer"/>
            <w:rPr>
              <w:sz w:val="18"/>
              <w:szCs w:val="18"/>
            </w:rPr>
          </w:pPr>
          <w:r>
            <w:rPr>
              <w:sz w:val="18"/>
              <w:szCs w:val="18"/>
            </w:rPr>
            <w:t>Version 1.</w:t>
          </w:r>
          <w:r w:rsidR="00421873">
            <w:rPr>
              <w:sz w:val="18"/>
              <w:szCs w:val="18"/>
            </w:rPr>
            <w:t>1</w:t>
          </w:r>
          <w:r>
            <w:rPr>
              <w:sz w:val="18"/>
              <w:szCs w:val="18"/>
            </w:rPr>
            <w:t xml:space="preserve"> 202</w:t>
          </w:r>
          <w:r>
            <w:rPr>
              <w:sz w:val="18"/>
              <w:szCs w:val="18"/>
            </w:rPr>
            <w:t>3</w:t>
          </w:r>
        </w:p>
      </w:tc>
      <w:tc>
        <w:tcPr>
          <w:tcW w:w="4788" w:type="dxa"/>
          <w:tcMar>
            <w:top w:w="113" w:type="dxa"/>
          </w:tcMar>
        </w:tcPr>
        <w:p w14:paraId="4E4CCE8E" w14:textId="77777777" w:rsidR="00A553C8" w:rsidRDefault="00A553C8" w:rsidP="00A553C8">
          <w:pPr>
            <w:pStyle w:val="Footer"/>
            <w:jc w:val="right"/>
            <w:rPr>
              <w:sz w:val="18"/>
              <w:szCs w:val="18"/>
            </w:rPr>
          </w:pPr>
          <w:r>
            <w:rPr>
              <w:noProof/>
              <w:sz w:val="18"/>
              <w:szCs w:val="18"/>
            </w:rPr>
            <w:drawing>
              <wp:inline distT="0" distB="0" distL="0" distR="0" wp14:anchorId="6B5C1945" wp14:editId="474269DF">
                <wp:extent cx="510553" cy="178630"/>
                <wp:effectExtent l="0" t="0" r="0" b="0"/>
                <wp:docPr id="3" name="Picture 3"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sign with a person in a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0553" cy="178630"/>
                        </a:xfrm>
                        <a:prstGeom prst="rect">
                          <a:avLst/>
                        </a:prstGeom>
                      </pic:spPr>
                    </pic:pic>
                  </a:graphicData>
                </a:graphic>
              </wp:inline>
            </w:drawing>
          </w:r>
        </w:p>
      </w:tc>
    </w:tr>
  </w:tbl>
  <w:p w14:paraId="7A27DCE2" w14:textId="77777777" w:rsidR="00A553C8" w:rsidRDefault="00A5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540C" w14:textId="77777777" w:rsidR="009A401D" w:rsidRDefault="009A401D" w:rsidP="00A553C8">
      <w:r>
        <w:separator/>
      </w:r>
    </w:p>
  </w:footnote>
  <w:footnote w:type="continuationSeparator" w:id="0">
    <w:p w14:paraId="168E9F51" w14:textId="77777777" w:rsidR="009A401D" w:rsidRDefault="009A401D" w:rsidP="00A55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EC7E" w14:textId="77777777" w:rsidR="00A553C8" w:rsidRPr="00527131" w:rsidRDefault="00A553C8" w:rsidP="00A553C8">
    <w:pPr>
      <w:pStyle w:val="Header"/>
      <w:rPr>
        <w:lang w:val="fr-CH"/>
      </w:rPr>
    </w:pPr>
    <w:r>
      <w:rPr>
        <w:lang w:val="fr-CH"/>
      </w:rPr>
      <w:t xml:space="preserve">WMO </w:t>
    </w:r>
    <w:proofErr w:type="spellStart"/>
    <w:r>
      <w:rPr>
        <w:lang w:val="fr-CH"/>
      </w:rPr>
      <w:t>Resources</w:t>
    </w:r>
    <w:proofErr w:type="spellEnd"/>
    <w:r>
      <w:rPr>
        <w:lang w:val="fr-CH"/>
      </w:rPr>
      <w:t xml:space="preserve"> for Trainers</w:t>
    </w:r>
  </w:p>
  <w:p w14:paraId="7647C548" w14:textId="77777777" w:rsidR="00A553C8" w:rsidRDefault="00A5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7C1A"/>
    <w:multiLevelType w:val="hybridMultilevel"/>
    <w:tmpl w:val="A79C9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8771F65"/>
    <w:multiLevelType w:val="hybridMultilevel"/>
    <w:tmpl w:val="9B6C00FC"/>
    <w:lvl w:ilvl="0" w:tplc="977040DC">
      <w:numFmt w:val="bullet"/>
      <w:lvlText w:val="–"/>
      <w:lvlJc w:val="left"/>
      <w:pPr>
        <w:ind w:left="1527" w:hanging="360"/>
      </w:pPr>
      <w:rPr>
        <w:rFonts w:ascii="Arial" w:eastAsia="Arial" w:hAnsi="Arial" w:cs="Arial" w:hint="default"/>
        <w:b w:val="0"/>
        <w:bCs w:val="0"/>
        <w:i w:val="0"/>
        <w:iCs w:val="0"/>
        <w:w w:val="103"/>
        <w:sz w:val="20"/>
        <w:szCs w:val="20"/>
      </w:rPr>
    </w:lvl>
    <w:lvl w:ilvl="1" w:tplc="FFFFFFFF" w:tentative="1">
      <w:start w:val="1"/>
      <w:numFmt w:val="bullet"/>
      <w:lvlText w:val="o"/>
      <w:lvlJc w:val="left"/>
      <w:pPr>
        <w:ind w:left="2607" w:hanging="360"/>
      </w:pPr>
      <w:rPr>
        <w:rFonts w:ascii="Courier New" w:hAnsi="Courier New" w:cs="Courier New" w:hint="default"/>
      </w:rPr>
    </w:lvl>
    <w:lvl w:ilvl="2" w:tplc="FFFFFFFF" w:tentative="1">
      <w:start w:val="1"/>
      <w:numFmt w:val="bullet"/>
      <w:lvlText w:val=""/>
      <w:lvlJc w:val="left"/>
      <w:pPr>
        <w:ind w:left="3327" w:hanging="360"/>
      </w:pPr>
      <w:rPr>
        <w:rFonts w:ascii="Wingdings" w:hAnsi="Wingdings" w:hint="default"/>
      </w:rPr>
    </w:lvl>
    <w:lvl w:ilvl="3" w:tplc="FFFFFFFF" w:tentative="1">
      <w:start w:val="1"/>
      <w:numFmt w:val="bullet"/>
      <w:lvlText w:val=""/>
      <w:lvlJc w:val="left"/>
      <w:pPr>
        <w:ind w:left="4047" w:hanging="360"/>
      </w:pPr>
      <w:rPr>
        <w:rFonts w:ascii="Symbol" w:hAnsi="Symbol" w:hint="default"/>
      </w:rPr>
    </w:lvl>
    <w:lvl w:ilvl="4" w:tplc="FFFFFFFF" w:tentative="1">
      <w:start w:val="1"/>
      <w:numFmt w:val="bullet"/>
      <w:lvlText w:val="o"/>
      <w:lvlJc w:val="left"/>
      <w:pPr>
        <w:ind w:left="4767" w:hanging="360"/>
      </w:pPr>
      <w:rPr>
        <w:rFonts w:ascii="Courier New" w:hAnsi="Courier New" w:cs="Courier New" w:hint="default"/>
      </w:rPr>
    </w:lvl>
    <w:lvl w:ilvl="5" w:tplc="FFFFFFFF" w:tentative="1">
      <w:start w:val="1"/>
      <w:numFmt w:val="bullet"/>
      <w:lvlText w:val=""/>
      <w:lvlJc w:val="left"/>
      <w:pPr>
        <w:ind w:left="5487" w:hanging="360"/>
      </w:pPr>
      <w:rPr>
        <w:rFonts w:ascii="Wingdings" w:hAnsi="Wingdings" w:hint="default"/>
      </w:rPr>
    </w:lvl>
    <w:lvl w:ilvl="6" w:tplc="FFFFFFFF" w:tentative="1">
      <w:start w:val="1"/>
      <w:numFmt w:val="bullet"/>
      <w:lvlText w:val=""/>
      <w:lvlJc w:val="left"/>
      <w:pPr>
        <w:ind w:left="6207" w:hanging="360"/>
      </w:pPr>
      <w:rPr>
        <w:rFonts w:ascii="Symbol" w:hAnsi="Symbol" w:hint="default"/>
      </w:rPr>
    </w:lvl>
    <w:lvl w:ilvl="7" w:tplc="FFFFFFFF" w:tentative="1">
      <w:start w:val="1"/>
      <w:numFmt w:val="bullet"/>
      <w:lvlText w:val="o"/>
      <w:lvlJc w:val="left"/>
      <w:pPr>
        <w:ind w:left="6927" w:hanging="360"/>
      </w:pPr>
      <w:rPr>
        <w:rFonts w:ascii="Courier New" w:hAnsi="Courier New" w:cs="Courier New" w:hint="default"/>
      </w:rPr>
    </w:lvl>
    <w:lvl w:ilvl="8" w:tplc="FFFFFFFF" w:tentative="1">
      <w:start w:val="1"/>
      <w:numFmt w:val="bullet"/>
      <w:lvlText w:val=""/>
      <w:lvlJc w:val="left"/>
      <w:pPr>
        <w:ind w:left="7647" w:hanging="360"/>
      </w:pPr>
      <w:rPr>
        <w:rFonts w:ascii="Wingdings" w:hAnsi="Wingdings" w:hint="default"/>
      </w:rPr>
    </w:lvl>
  </w:abstractNum>
  <w:num w:numId="1" w16cid:durableId="493835498">
    <w:abstractNumId w:val="1"/>
  </w:num>
  <w:num w:numId="2" w16cid:durableId="105362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34"/>
    <w:rsid w:val="00176B4B"/>
    <w:rsid w:val="00217A47"/>
    <w:rsid w:val="002A148F"/>
    <w:rsid w:val="00421873"/>
    <w:rsid w:val="004408E2"/>
    <w:rsid w:val="00593FB1"/>
    <w:rsid w:val="00870005"/>
    <w:rsid w:val="009A401D"/>
    <w:rsid w:val="00A05A7B"/>
    <w:rsid w:val="00A553C8"/>
    <w:rsid w:val="00BF5E22"/>
    <w:rsid w:val="00D20007"/>
    <w:rsid w:val="00EB1C34"/>
    <w:rsid w:val="00EC677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39FA5B0D"/>
  <w15:chartTrackingRefBased/>
  <w15:docId w15:val="{2C126206-EAC5-BA47-B66D-A40E5C9E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C3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A553C8"/>
    <w:pPr>
      <w:tabs>
        <w:tab w:val="center" w:pos="4513"/>
        <w:tab w:val="right" w:pos="9026"/>
      </w:tabs>
    </w:pPr>
  </w:style>
  <w:style w:type="character" w:customStyle="1" w:styleId="HeaderChar">
    <w:name w:val="Header Char"/>
    <w:basedOn w:val="DefaultParagraphFont"/>
    <w:link w:val="Header"/>
    <w:uiPriority w:val="99"/>
    <w:rsid w:val="00A553C8"/>
  </w:style>
  <w:style w:type="paragraph" w:styleId="Footer">
    <w:name w:val="footer"/>
    <w:basedOn w:val="Normal"/>
    <w:link w:val="FooterChar"/>
    <w:uiPriority w:val="99"/>
    <w:unhideWhenUsed/>
    <w:rsid w:val="00A553C8"/>
    <w:pPr>
      <w:tabs>
        <w:tab w:val="center" w:pos="4513"/>
        <w:tab w:val="right" w:pos="9026"/>
      </w:tabs>
    </w:pPr>
  </w:style>
  <w:style w:type="character" w:customStyle="1" w:styleId="FooterChar">
    <w:name w:val="Footer Char"/>
    <w:basedOn w:val="DefaultParagraphFont"/>
    <w:link w:val="Footer"/>
    <w:uiPriority w:val="99"/>
    <w:rsid w:val="00A553C8"/>
  </w:style>
  <w:style w:type="table" w:styleId="TableGrid">
    <w:name w:val="Table Grid"/>
    <w:basedOn w:val="TableNormal"/>
    <w:uiPriority w:val="59"/>
    <w:rsid w:val="00A553C8"/>
    <w:rPr>
      <w:rFonts w:ascii="Calibri" w:eastAsia="SimSun"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8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Parrish</dc:creator>
  <cp:keywords/>
  <dc:description/>
  <cp:lastModifiedBy>Patrick Parrish</cp:lastModifiedBy>
  <cp:revision>5</cp:revision>
  <dcterms:created xsi:type="dcterms:W3CDTF">2023-12-04T16:37:00Z</dcterms:created>
  <dcterms:modified xsi:type="dcterms:W3CDTF">2023-12-08T12:13:00Z</dcterms:modified>
</cp:coreProperties>
</file>