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77" w:rsidRPr="005A6DBC" w:rsidRDefault="00492B77" w:rsidP="00492B77">
      <w:pPr>
        <w:pStyle w:val="Heading3"/>
        <w:numPr>
          <w:ilvl w:val="0"/>
          <w:numId w:val="0"/>
        </w:numPr>
        <w:ind w:left="720" w:hanging="720"/>
        <w:rPr>
          <w:sz w:val="28"/>
          <w:szCs w:val="28"/>
        </w:rPr>
      </w:pPr>
      <w:bookmarkStart w:id="0" w:name="_Toc324351105"/>
      <w:r w:rsidRPr="005A6DBC">
        <w:rPr>
          <w:sz w:val="28"/>
          <w:szCs w:val="28"/>
        </w:rPr>
        <w:t>Battery charging procedures</w:t>
      </w:r>
      <w:bookmarkEnd w:id="0"/>
    </w:p>
    <w:p w:rsidR="00492B77" w:rsidRPr="0030466D" w:rsidRDefault="00492B77" w:rsidP="00492B77">
      <w:pPr>
        <w:pStyle w:val="Normalbodytext"/>
        <w:rPr>
          <w:rFonts w:asciiTheme="minorHAnsi" w:hAnsiTheme="minorHAnsi"/>
        </w:rPr>
      </w:pPr>
      <w:r w:rsidRPr="0030466D">
        <w:rPr>
          <w:rFonts w:asciiTheme="minorHAnsi" w:hAnsiTheme="minorHAnsi"/>
        </w:rPr>
        <w:t>Most current instruments can be powered by one or more rechargeable 12v sealed lead</w:t>
      </w:r>
      <w:r w:rsidRPr="0030466D">
        <w:rPr>
          <w:rFonts w:asciiTheme="minorHAnsi" w:hAnsiTheme="minorHAnsi"/>
        </w:rPr>
        <w:noBreakHyphen/>
        <w:t>acid batteries of 7.5</w:t>
      </w:r>
      <w:r w:rsidRPr="00BC3157">
        <w:t xml:space="preserve"> </w:t>
      </w:r>
      <w:r w:rsidRPr="0030466D">
        <w:rPr>
          <w:rFonts w:asciiTheme="minorHAnsi" w:hAnsiTheme="minorHAnsi"/>
        </w:rPr>
        <w:t>ampere</w:t>
      </w:r>
      <w:r w:rsidRPr="0030466D">
        <w:rPr>
          <w:rFonts w:asciiTheme="minorHAnsi" w:hAnsiTheme="minorHAnsi"/>
        </w:rPr>
        <w:noBreakHyphen/>
        <w:t>hour capacity. Solar</w:t>
      </w:r>
      <w:r w:rsidRPr="0030466D">
        <w:rPr>
          <w:rFonts w:asciiTheme="minorHAnsi" w:hAnsiTheme="minorHAnsi"/>
        </w:rPr>
        <w:noBreakHyphen/>
        <w:t>powered installations normally have a larger, low</w:t>
      </w:r>
      <w:r w:rsidRPr="0030466D">
        <w:rPr>
          <w:rFonts w:asciiTheme="minorHAnsi" w:hAnsiTheme="minorHAnsi"/>
        </w:rPr>
        <w:noBreakHyphen/>
        <w:t>loss battery of a similar type but with a capacity of around 80 ampere</w:t>
      </w:r>
      <w:r w:rsidRPr="0030466D">
        <w:rPr>
          <w:rFonts w:asciiTheme="minorHAnsi" w:hAnsiTheme="minorHAnsi"/>
        </w:rPr>
        <w:noBreakHyphen/>
        <w:t>hours. Battery charging, in particular of the non</w:t>
      </w:r>
      <w:r w:rsidRPr="0030466D">
        <w:rPr>
          <w:rFonts w:asciiTheme="minorHAnsi" w:hAnsiTheme="minorHAnsi"/>
        </w:rPr>
        <w:noBreakHyphen/>
        <w:t>solar powered ones, is a crucial operation in ensuring the reliability of instruments. The team shall have a system of identifying:</w:t>
      </w:r>
    </w:p>
    <w:p w:rsidR="00492B77" w:rsidRPr="0030466D" w:rsidRDefault="00492B77" w:rsidP="00492B77">
      <w:pPr>
        <w:pStyle w:val="Normalbodytext"/>
        <w:numPr>
          <w:ilvl w:val="0"/>
          <w:numId w:val="1"/>
        </w:numPr>
        <w:spacing w:after="120"/>
        <w:ind w:left="714" w:hanging="357"/>
        <w:rPr>
          <w:rFonts w:asciiTheme="minorHAnsi" w:hAnsiTheme="minorHAnsi"/>
        </w:rPr>
      </w:pPr>
      <w:r w:rsidRPr="0030466D">
        <w:rPr>
          <w:rFonts w:asciiTheme="minorHAnsi" w:hAnsiTheme="minorHAnsi"/>
        </w:rPr>
        <w:t>Whether a particular battery is charged or discharged (this is to avoid installing a discharged battery at a site). A simple method is to only take batteries directly off the battery charger into the field, and to keep them separate from any discharged ones.</w:t>
      </w:r>
    </w:p>
    <w:p w:rsidR="00492B77" w:rsidRPr="0030466D" w:rsidRDefault="00492B77" w:rsidP="00492B77">
      <w:pPr>
        <w:pStyle w:val="Normalbodytext"/>
        <w:numPr>
          <w:ilvl w:val="0"/>
          <w:numId w:val="1"/>
        </w:numPr>
        <w:spacing w:after="120"/>
        <w:ind w:left="714" w:hanging="357"/>
        <w:rPr>
          <w:rFonts w:asciiTheme="minorHAnsi" w:hAnsiTheme="minorHAnsi"/>
        </w:rPr>
      </w:pPr>
      <w:r w:rsidRPr="0030466D">
        <w:rPr>
          <w:rFonts w:asciiTheme="minorHAnsi" w:hAnsiTheme="minorHAnsi"/>
        </w:rPr>
        <w:t>The age of a battery; i.e. its date of entry into service.</w:t>
      </w:r>
    </w:p>
    <w:p w:rsidR="00492B77" w:rsidRPr="0030466D" w:rsidRDefault="00492B77" w:rsidP="00492B77">
      <w:pPr>
        <w:pStyle w:val="Normalbodytext"/>
        <w:numPr>
          <w:ilvl w:val="0"/>
          <w:numId w:val="1"/>
        </w:numPr>
        <w:spacing w:after="120"/>
        <w:ind w:left="714" w:hanging="357"/>
        <w:rPr>
          <w:rFonts w:asciiTheme="minorHAnsi" w:hAnsiTheme="minorHAnsi"/>
        </w:rPr>
      </w:pPr>
      <w:r w:rsidRPr="0030466D">
        <w:rPr>
          <w:rFonts w:asciiTheme="minorHAnsi" w:hAnsiTheme="minorHAnsi"/>
        </w:rPr>
        <w:t>The condition of batteries with respect to their history of discharge tests, and any power failures or capacity rejuvenation.</w:t>
      </w:r>
    </w:p>
    <w:p w:rsidR="00492B77" w:rsidRPr="0030466D" w:rsidRDefault="00492B77" w:rsidP="00492B77">
      <w:pPr>
        <w:pStyle w:val="Normalbodytext"/>
        <w:numPr>
          <w:ilvl w:val="0"/>
          <w:numId w:val="1"/>
        </w:numPr>
        <w:rPr>
          <w:rFonts w:asciiTheme="minorHAnsi" w:hAnsiTheme="minorHAnsi"/>
        </w:rPr>
      </w:pPr>
      <w:r w:rsidRPr="0030466D">
        <w:rPr>
          <w:rFonts w:asciiTheme="minorHAnsi" w:hAnsiTheme="minorHAnsi"/>
        </w:rPr>
        <w:t>Possibly, the last site the battery was used at.</w:t>
      </w:r>
    </w:p>
    <w:p w:rsidR="00492B77" w:rsidRPr="0030466D" w:rsidRDefault="00492B77" w:rsidP="00492B77">
      <w:pPr>
        <w:pStyle w:val="Normalbodytext"/>
        <w:rPr>
          <w:rFonts w:asciiTheme="minorHAnsi" w:hAnsiTheme="minorHAnsi"/>
        </w:rPr>
      </w:pPr>
      <w:r w:rsidRPr="0030466D">
        <w:rPr>
          <w:rFonts w:asciiTheme="minorHAnsi" w:hAnsiTheme="minorHAnsi"/>
        </w:rPr>
        <w:t xml:space="preserve">These requirements will normally require a written record, either attached to each battery or in a book kept at the battery charger. It is recommended that separate areas of bench or shelving be dedicated to charged and uncharged batteries. White vinyl adhesive signwriting sheet (obtainable from almost any </w:t>
      </w:r>
      <w:proofErr w:type="spellStart"/>
      <w:r w:rsidRPr="0030466D">
        <w:rPr>
          <w:rFonts w:asciiTheme="minorHAnsi" w:hAnsiTheme="minorHAnsi"/>
        </w:rPr>
        <w:t>signwriter</w:t>
      </w:r>
      <w:proofErr w:type="spellEnd"/>
      <w:r w:rsidRPr="0030466D">
        <w:rPr>
          <w:rFonts w:asciiTheme="minorHAnsi" w:hAnsiTheme="minorHAnsi"/>
        </w:rPr>
        <w:t xml:space="preserve">) </w:t>
      </w:r>
      <w:r w:rsidR="005A6DBC" w:rsidRPr="0030466D">
        <w:rPr>
          <w:rFonts w:asciiTheme="minorHAnsi" w:hAnsiTheme="minorHAnsi"/>
        </w:rPr>
        <w:t xml:space="preserve">or paint </w:t>
      </w:r>
      <w:r w:rsidRPr="0030466D">
        <w:rPr>
          <w:rFonts w:asciiTheme="minorHAnsi" w:hAnsiTheme="minorHAnsi"/>
        </w:rPr>
        <w:t xml:space="preserve">can be used to cover one end of a battery, and then a black indelible pen can be used to mark the record on the battery. </w:t>
      </w:r>
    </w:p>
    <w:p w:rsidR="00492B77" w:rsidRPr="0030466D" w:rsidRDefault="00492B77" w:rsidP="00492B77">
      <w:pPr>
        <w:pStyle w:val="Normalbodytext"/>
        <w:rPr>
          <w:rFonts w:asciiTheme="minorHAnsi" w:hAnsiTheme="minorHAnsi"/>
        </w:rPr>
      </w:pPr>
      <w:r w:rsidRPr="0030466D">
        <w:rPr>
          <w:rFonts w:asciiTheme="minorHAnsi" w:hAnsiTheme="minorHAnsi"/>
        </w:rPr>
        <w:t>Batteries should be stored and transported in the field in containers and conditions such that they are protected from accidental contact across their terminals, for reasons of battery health, recorder reliability and fire danger from arcing.</w:t>
      </w:r>
    </w:p>
    <w:p w:rsidR="007A75E3" w:rsidRDefault="007A75E3" w:rsidP="002A224D">
      <w:pPr>
        <w:pStyle w:val="Heading3"/>
        <w:numPr>
          <w:ilvl w:val="0"/>
          <w:numId w:val="0"/>
        </w:numPr>
        <w:ind w:left="720" w:hanging="720"/>
      </w:pPr>
      <w:bookmarkStart w:id="1" w:name="_Toc324351131"/>
      <w:r>
        <w:t>Power supply</w:t>
      </w:r>
      <w:bookmarkEnd w:id="1"/>
    </w:p>
    <w:p w:rsidR="007A75E3" w:rsidRPr="0030466D" w:rsidRDefault="007A75E3" w:rsidP="007A75E3">
      <w:pPr>
        <w:pStyle w:val="Normalbodytext"/>
        <w:rPr>
          <w:rFonts w:asciiTheme="minorHAnsi" w:hAnsiTheme="minorHAnsi"/>
        </w:rPr>
      </w:pPr>
      <w:r w:rsidRPr="0030466D">
        <w:rPr>
          <w:rFonts w:asciiTheme="minorHAnsi" w:hAnsiTheme="minorHAnsi"/>
        </w:rPr>
        <w:t>Consider whether this is adequate, test the voltage during a reading, and check whether the wiring is tidy (there is a correlation between tidiness and reliability) and free of corroded terminals, unsoldered connections, and potential breaks. Check for tension in the wires due to movement. Check for diode protection between different batteries on the primary and backup systems.</w:t>
      </w:r>
    </w:p>
    <w:p w:rsidR="007A75E3" w:rsidRPr="0030466D" w:rsidRDefault="007A75E3" w:rsidP="007A75E3">
      <w:pPr>
        <w:pStyle w:val="Normalbodytext"/>
        <w:rPr>
          <w:rFonts w:asciiTheme="minorHAnsi" w:hAnsiTheme="minorHAnsi"/>
        </w:rPr>
      </w:pPr>
      <w:r w:rsidRPr="0030466D">
        <w:rPr>
          <w:rFonts w:asciiTheme="minorHAnsi" w:hAnsiTheme="minorHAnsi"/>
        </w:rPr>
        <w:t>Batteries should have recorded on them their date of entry into service, and there should be a record of charging, discharge testing, conditioning, etc. as appropriate for the type and duty of the battery. For smaller batteries under 65ah use a 5 year life span as a rule of thumb.</w:t>
      </w:r>
    </w:p>
    <w:p w:rsidR="002A224D" w:rsidRDefault="002A224D" w:rsidP="007A75E3">
      <w:pPr>
        <w:pStyle w:val="Normalbodytext"/>
      </w:pPr>
    </w:p>
    <w:p w:rsidR="0030466D" w:rsidRPr="0030466D" w:rsidRDefault="002A224D" w:rsidP="0030466D">
      <w:pPr>
        <w:pStyle w:val="Heading1"/>
        <w:numPr>
          <w:ilvl w:val="0"/>
          <w:numId w:val="0"/>
        </w:numPr>
      </w:pPr>
      <w:r>
        <w:t>Power supply diagnosis</w:t>
      </w:r>
    </w:p>
    <w:p w:rsidR="0030466D" w:rsidRDefault="0030466D" w:rsidP="0030466D">
      <w:pPr>
        <w:pStyle w:val="ListParagraph"/>
        <w:ind w:left="360"/>
      </w:pPr>
    </w:p>
    <w:p w:rsidR="002A224D" w:rsidRDefault="002A224D" w:rsidP="008E3CB2">
      <w:r>
        <w:t xml:space="preserve">If </w:t>
      </w:r>
      <w:r w:rsidR="0030466D">
        <w:t xml:space="preserve">power </w:t>
      </w:r>
      <w:r>
        <w:t>supply is totally lost</w:t>
      </w:r>
      <w:r w:rsidR="008E3CB2">
        <w:t xml:space="preserve"> and the logger/sensor stops</w:t>
      </w:r>
      <w:r>
        <w:t xml:space="preserve">, </w:t>
      </w:r>
      <w:r w:rsidR="0030466D">
        <w:t xml:space="preserve">check the whole system looking for where you do and don’t have power? A </w:t>
      </w:r>
      <w:r>
        <w:t xml:space="preserve">systematic check is required, this is best accomplished by measuring the voltage at various points with a suitable voltmeter. </w:t>
      </w:r>
    </w:p>
    <w:p w:rsidR="002A224D" w:rsidRDefault="002A224D" w:rsidP="002A224D"/>
    <w:p w:rsidR="002A224D" w:rsidRDefault="002A224D" w:rsidP="002A224D">
      <w:pPr>
        <w:pStyle w:val="ListParagraph"/>
        <w:ind w:left="360"/>
      </w:pPr>
    </w:p>
    <w:p w:rsidR="002A224D" w:rsidRDefault="002A224D" w:rsidP="002A224D">
      <w:pPr>
        <w:pStyle w:val="ListParagraph"/>
        <w:ind w:left="360"/>
      </w:pPr>
    </w:p>
    <w:p w:rsidR="002A224D" w:rsidRDefault="00FE14F6" w:rsidP="0030466D">
      <w:r>
        <w:rPr>
          <w:noProof/>
          <w:lang w:eastAsia="en-NZ"/>
        </w:rPr>
        <w:lastRenderedPageBreak/>
        <w:drawing>
          <wp:inline distT="0" distB="0" distL="0" distR="0">
            <wp:extent cx="5731510" cy="4061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ing diagram.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061460"/>
                    </a:xfrm>
                    <a:prstGeom prst="rect">
                      <a:avLst/>
                    </a:prstGeom>
                  </pic:spPr>
                </pic:pic>
              </a:graphicData>
            </a:graphic>
          </wp:inline>
        </w:drawing>
      </w:r>
    </w:p>
    <w:p w:rsidR="002A224D" w:rsidRPr="0030466D" w:rsidRDefault="002A224D" w:rsidP="002A224D">
      <w:r w:rsidRPr="0030466D">
        <w:t>Station power supplies are all different but most stati</w:t>
      </w:r>
      <w:r w:rsidR="008E3CB2">
        <w:t>ons have a similar structure, the above</w:t>
      </w:r>
      <w:r w:rsidRPr="0030466D">
        <w:t xml:space="preserve"> design follow a standard proven construction and fusing c</w:t>
      </w:r>
      <w:r w:rsidR="008E3CB2">
        <w:t>oncept so the diagnosis</w:t>
      </w:r>
      <w:r w:rsidRPr="0030466D">
        <w:t xml:space="preserve"> would follow a structure as below. This means diagnosis follows standard processes for isolating problems </w:t>
      </w:r>
      <w:proofErr w:type="spellStart"/>
      <w:r w:rsidRPr="0030466D">
        <w:t>i.e</w:t>
      </w:r>
      <w:proofErr w:type="spellEnd"/>
      <w:r w:rsidRPr="0030466D">
        <w:t xml:space="preserve"> a standard process may be</w:t>
      </w:r>
      <w:r w:rsidR="008E3CB2">
        <w:t>:</w:t>
      </w:r>
    </w:p>
    <w:p w:rsidR="002A224D" w:rsidRPr="0030466D" w:rsidRDefault="002A224D" w:rsidP="002A224D">
      <w:pPr>
        <w:pStyle w:val="ListParagraph"/>
        <w:numPr>
          <w:ilvl w:val="0"/>
          <w:numId w:val="6"/>
        </w:numPr>
        <w:spacing w:after="0" w:line="240" w:lineRule="auto"/>
        <w:contextualSpacing w:val="0"/>
      </w:pPr>
      <w:r w:rsidRPr="0030466D">
        <w:t>Check relevant outputs to devices from fuse panel (blown fuse?)</w:t>
      </w:r>
    </w:p>
    <w:p w:rsidR="002A224D" w:rsidRPr="0030466D" w:rsidRDefault="002A224D" w:rsidP="002A224D">
      <w:pPr>
        <w:pStyle w:val="ListParagraph"/>
        <w:numPr>
          <w:ilvl w:val="0"/>
          <w:numId w:val="6"/>
        </w:numPr>
        <w:spacing w:after="0" w:line="240" w:lineRule="auto"/>
        <w:contextualSpacing w:val="0"/>
      </w:pPr>
      <w:r w:rsidRPr="0030466D">
        <w:t xml:space="preserve">Check voltage from power supply source – Solar/Mains </w:t>
      </w:r>
      <w:proofErr w:type="spellStart"/>
      <w:r w:rsidRPr="0030466D">
        <w:t>etc</w:t>
      </w:r>
      <w:proofErr w:type="spellEnd"/>
    </w:p>
    <w:p w:rsidR="002A224D" w:rsidRPr="0030466D" w:rsidRDefault="002A224D" w:rsidP="002A224D">
      <w:pPr>
        <w:pStyle w:val="ListParagraph"/>
        <w:numPr>
          <w:ilvl w:val="0"/>
          <w:numId w:val="6"/>
        </w:numPr>
        <w:spacing w:after="0" w:line="240" w:lineRule="auto"/>
        <w:contextualSpacing w:val="0"/>
      </w:pPr>
      <w:r w:rsidRPr="0030466D">
        <w:t>Check charge current from supply into regulator</w:t>
      </w:r>
    </w:p>
    <w:p w:rsidR="002A224D" w:rsidRPr="0030466D" w:rsidRDefault="002A224D" w:rsidP="002A224D">
      <w:pPr>
        <w:pStyle w:val="ListParagraph"/>
        <w:numPr>
          <w:ilvl w:val="0"/>
          <w:numId w:val="6"/>
        </w:numPr>
        <w:spacing w:after="0" w:line="240" w:lineRule="auto"/>
        <w:contextualSpacing w:val="0"/>
      </w:pPr>
      <w:r w:rsidRPr="0030466D">
        <w:t>Check voltage out of regulator</w:t>
      </w:r>
    </w:p>
    <w:p w:rsidR="002A224D" w:rsidRPr="0030466D" w:rsidRDefault="002A224D" w:rsidP="002A224D">
      <w:pPr>
        <w:pStyle w:val="ListParagraph"/>
        <w:numPr>
          <w:ilvl w:val="0"/>
          <w:numId w:val="6"/>
        </w:numPr>
        <w:spacing w:after="0" w:line="240" w:lineRule="auto"/>
        <w:contextualSpacing w:val="0"/>
      </w:pPr>
      <w:r w:rsidRPr="0030466D">
        <w:t>Check charge current out of regulator into battery</w:t>
      </w:r>
    </w:p>
    <w:p w:rsidR="002A224D" w:rsidRPr="0030466D" w:rsidRDefault="002A224D" w:rsidP="002A224D">
      <w:pPr>
        <w:pStyle w:val="ListParagraph"/>
        <w:numPr>
          <w:ilvl w:val="0"/>
          <w:numId w:val="6"/>
        </w:numPr>
        <w:spacing w:after="0" w:line="240" w:lineRule="auto"/>
        <w:contextualSpacing w:val="0"/>
      </w:pPr>
      <w:r w:rsidRPr="0030466D">
        <w:t>Check battery, is it holding charge</w:t>
      </w:r>
    </w:p>
    <w:p w:rsidR="002A224D" w:rsidRPr="0030466D" w:rsidRDefault="002A224D" w:rsidP="002A224D">
      <w:pPr>
        <w:pStyle w:val="ListParagraph"/>
        <w:numPr>
          <w:ilvl w:val="0"/>
          <w:numId w:val="6"/>
        </w:numPr>
        <w:spacing w:after="0" w:line="240" w:lineRule="auto"/>
        <w:contextualSpacing w:val="0"/>
      </w:pPr>
      <w:r w:rsidRPr="0030466D">
        <w:t>Check solar panel capacity/orientation if charging is insufficient</w:t>
      </w:r>
    </w:p>
    <w:p w:rsidR="002A224D" w:rsidRPr="0030466D" w:rsidRDefault="002A224D" w:rsidP="002A224D">
      <w:pPr>
        <w:pStyle w:val="ListParagraph"/>
        <w:numPr>
          <w:ilvl w:val="0"/>
          <w:numId w:val="6"/>
        </w:numPr>
        <w:spacing w:after="0" w:line="240" w:lineRule="auto"/>
        <w:contextualSpacing w:val="0"/>
      </w:pPr>
      <w:r w:rsidRPr="0030466D">
        <w:t>If battery is being run down, check individual device currents to find the culprit</w:t>
      </w:r>
      <w:r w:rsidR="00D731F4">
        <w:t xml:space="preserve"> – there could be a fault causing a sensor to draw too much power?</w:t>
      </w:r>
    </w:p>
    <w:p w:rsidR="00D731F4" w:rsidRDefault="00D731F4" w:rsidP="00D731F4">
      <w:pPr>
        <w:spacing w:after="0" w:line="240" w:lineRule="auto"/>
      </w:pPr>
    </w:p>
    <w:p w:rsidR="00D731F4" w:rsidRDefault="00D731F4" w:rsidP="00D731F4">
      <w:pPr>
        <w:spacing w:after="0" w:line="240" w:lineRule="auto"/>
      </w:pPr>
      <w:r>
        <w:t>Power supply check list</w:t>
      </w:r>
      <w:r w:rsidR="00ED23A8">
        <w:t xml:space="preserve"> example</w:t>
      </w:r>
      <w:r>
        <w:t>:</w:t>
      </w:r>
    </w:p>
    <w:p w:rsidR="00D731F4" w:rsidRDefault="00D731F4" w:rsidP="00D731F4">
      <w:pPr>
        <w:spacing w:after="0" w:line="240" w:lineRule="auto"/>
      </w:pPr>
    </w:p>
    <w:tbl>
      <w:tblPr>
        <w:tblStyle w:val="MediumList2-Accent1"/>
        <w:tblW w:w="4780" w:type="pct"/>
        <w:tblLook w:val="04A0" w:firstRow="1" w:lastRow="0" w:firstColumn="1" w:lastColumn="0" w:noHBand="0" w:noVBand="1"/>
      </w:tblPr>
      <w:tblGrid>
        <w:gridCol w:w="2433"/>
        <w:gridCol w:w="1643"/>
        <w:gridCol w:w="2006"/>
        <w:gridCol w:w="222"/>
        <w:gridCol w:w="1206"/>
        <w:gridCol w:w="1119"/>
      </w:tblGrid>
      <w:tr w:rsidR="000F6CB6" w:rsidTr="00ED23A8">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1326" w:type="pct"/>
            <w:noWrap/>
          </w:tcPr>
          <w:p w:rsidR="00D731F4" w:rsidRDefault="00FE14F6">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Power at:</w:t>
            </w:r>
          </w:p>
        </w:tc>
        <w:tc>
          <w:tcPr>
            <w:tcW w:w="969" w:type="pct"/>
          </w:tcPr>
          <w:p w:rsidR="00D731F4" w:rsidRDefault="00ED23A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Voltage (v)</w:t>
            </w:r>
          </w:p>
        </w:tc>
        <w:tc>
          <w:tcPr>
            <w:tcW w:w="1179" w:type="pct"/>
          </w:tcPr>
          <w:p w:rsidR="00D731F4" w:rsidRDefault="00ED23A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Current (A)</w:t>
            </w:r>
          </w:p>
        </w:tc>
        <w:tc>
          <w:tcPr>
            <w:tcW w:w="129" w:type="pct"/>
          </w:tcPr>
          <w:p w:rsidR="00D731F4" w:rsidRDefault="00D731F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732" w:type="pct"/>
          </w:tcPr>
          <w:p w:rsidR="00D731F4" w:rsidRDefault="00D731F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665" w:type="pct"/>
          </w:tcPr>
          <w:p w:rsidR="00D731F4" w:rsidRDefault="00D731F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ED23A8" w:rsidTr="00ED23A8">
        <w:trPr>
          <w:gridAfter w:val="3"/>
          <w:cnfStyle w:val="000000100000" w:firstRow="0" w:lastRow="0" w:firstColumn="0" w:lastColumn="0" w:oddVBand="0" w:evenVBand="0" w:oddHBand="1" w:evenHBand="0" w:firstRowFirstColumn="0" w:firstRowLastColumn="0" w:lastRowFirstColumn="0" w:lastRowLastColumn="0"/>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asciiTheme="minorHAnsi" w:eastAsiaTheme="minorEastAsia" w:hAnsiTheme="minorHAnsi" w:cstheme="minorBidi"/>
                <w:color w:val="auto"/>
              </w:rPr>
            </w:pPr>
            <w:r>
              <w:rPr>
                <w:rFonts w:asciiTheme="minorHAnsi" w:eastAsiaTheme="minorEastAsia" w:hAnsiTheme="minorHAnsi" w:cstheme="minorBidi"/>
                <w:color w:val="auto"/>
              </w:rPr>
              <w:t>Battery direct</w:t>
            </w:r>
          </w:p>
        </w:tc>
        <w:tc>
          <w:tcPr>
            <w:tcW w:w="96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12.8</w:t>
            </w:r>
          </w:p>
        </w:tc>
        <w:tc>
          <w:tcPr>
            <w:tcW w:w="117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ED23A8" w:rsidTr="00ED23A8">
        <w:trPr>
          <w:gridAfter w:val="3"/>
          <w:wAfter w:w="1526" w:type="pct"/>
          <w:trHeight w:val="355"/>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asciiTheme="minorHAnsi" w:eastAsiaTheme="minorEastAsia" w:hAnsiTheme="minorHAnsi" w:cstheme="minorBidi"/>
                <w:color w:val="auto"/>
              </w:rPr>
            </w:pPr>
            <w:r>
              <w:rPr>
                <w:rFonts w:asciiTheme="minorHAnsi" w:eastAsiaTheme="minorEastAsia" w:hAnsiTheme="minorHAnsi" w:cstheme="minorBidi"/>
                <w:color w:val="auto"/>
              </w:rPr>
              <w:t>Battery at fuse</w:t>
            </w:r>
          </w:p>
        </w:tc>
        <w:tc>
          <w:tcPr>
            <w:tcW w:w="969" w:type="pct"/>
          </w:tcPr>
          <w:p w:rsidR="00ED23A8" w:rsidRDefault="00ED23A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12.8</w:t>
            </w:r>
          </w:p>
        </w:tc>
        <w:tc>
          <w:tcPr>
            <w:tcW w:w="1179" w:type="pct"/>
          </w:tcPr>
          <w:p w:rsidR="00ED23A8" w:rsidRDefault="00ED23A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ED23A8" w:rsidTr="00ED23A8">
        <w:trPr>
          <w:gridAfter w:val="3"/>
          <w:cnfStyle w:val="000000100000" w:firstRow="0" w:lastRow="0" w:firstColumn="0" w:lastColumn="0" w:oddVBand="0" w:evenVBand="0" w:oddHBand="1" w:evenHBand="0" w:firstRowFirstColumn="0" w:firstRowLastColumn="0" w:lastRowFirstColumn="0" w:lastRowLastColumn="0"/>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asciiTheme="minorHAnsi" w:eastAsiaTheme="minorEastAsia" w:hAnsiTheme="minorHAnsi" w:cstheme="minorBidi"/>
                <w:color w:val="auto"/>
              </w:rPr>
            </w:pPr>
            <w:r>
              <w:rPr>
                <w:rFonts w:asciiTheme="minorHAnsi" w:eastAsiaTheme="minorEastAsia" w:hAnsiTheme="minorHAnsi" w:cstheme="minorBidi"/>
                <w:color w:val="auto"/>
              </w:rPr>
              <w:t>Battery at Regulator</w:t>
            </w:r>
          </w:p>
        </w:tc>
        <w:tc>
          <w:tcPr>
            <w:tcW w:w="96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13.2</w:t>
            </w:r>
          </w:p>
        </w:tc>
        <w:tc>
          <w:tcPr>
            <w:tcW w:w="117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ED23A8" w:rsidTr="00ED23A8">
        <w:trPr>
          <w:gridAfter w:val="3"/>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asciiTheme="minorHAnsi" w:eastAsiaTheme="minorEastAsia" w:hAnsiTheme="minorHAnsi" w:cstheme="minorBidi"/>
                <w:color w:val="auto"/>
              </w:rPr>
            </w:pPr>
            <w:r>
              <w:rPr>
                <w:rFonts w:asciiTheme="minorHAnsi" w:eastAsiaTheme="minorEastAsia" w:hAnsiTheme="minorHAnsi" w:cstheme="minorBidi"/>
                <w:color w:val="auto"/>
              </w:rPr>
              <w:t>Solar/mains at Regulator</w:t>
            </w:r>
          </w:p>
        </w:tc>
        <w:tc>
          <w:tcPr>
            <w:tcW w:w="969" w:type="pct"/>
          </w:tcPr>
          <w:p w:rsidR="00ED23A8" w:rsidRDefault="00ED23A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13.8</w:t>
            </w:r>
          </w:p>
        </w:tc>
        <w:tc>
          <w:tcPr>
            <w:tcW w:w="1179" w:type="pct"/>
          </w:tcPr>
          <w:p w:rsidR="00ED23A8" w:rsidRDefault="00ED23A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1.5</w:t>
            </w:r>
          </w:p>
        </w:tc>
      </w:tr>
      <w:tr w:rsidR="00ED23A8" w:rsidTr="00ED23A8">
        <w:trPr>
          <w:gridAfter w:val="3"/>
          <w:cnfStyle w:val="000000100000" w:firstRow="0" w:lastRow="0" w:firstColumn="0" w:lastColumn="0" w:oddVBand="0" w:evenVBand="0" w:oddHBand="1" w:evenHBand="0" w:firstRowFirstColumn="0" w:firstRowLastColumn="0" w:lastRowFirstColumn="0" w:lastRowLastColumn="0"/>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FE14F6" w:rsidP="00FE14F6">
            <w:pPr>
              <w:rPr>
                <w:rFonts w:asciiTheme="minorHAnsi" w:eastAsiaTheme="minorEastAsia" w:hAnsiTheme="minorHAnsi" w:cstheme="minorBidi"/>
                <w:color w:val="auto"/>
              </w:rPr>
            </w:pPr>
            <w:r>
              <w:rPr>
                <w:rFonts w:asciiTheme="minorHAnsi" w:eastAsiaTheme="minorEastAsia" w:hAnsiTheme="minorHAnsi" w:cstheme="minorBidi"/>
                <w:color w:val="auto"/>
              </w:rPr>
              <w:t xml:space="preserve">Power at fuse 1 </w:t>
            </w:r>
          </w:p>
        </w:tc>
        <w:tc>
          <w:tcPr>
            <w:tcW w:w="96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12.8</w:t>
            </w:r>
          </w:p>
        </w:tc>
        <w:tc>
          <w:tcPr>
            <w:tcW w:w="1179" w:type="pct"/>
          </w:tcPr>
          <w:p w:rsidR="00ED23A8" w:rsidRDefault="00ED23A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ED23A8" w:rsidTr="00ED23A8">
        <w:trPr>
          <w:gridAfter w:val="3"/>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eastAsiaTheme="minorEastAsia"/>
              </w:rPr>
            </w:pPr>
            <w:r>
              <w:rPr>
                <w:rFonts w:asciiTheme="minorHAnsi" w:eastAsiaTheme="minorEastAsia" w:hAnsiTheme="minorHAnsi" w:cstheme="minorBidi"/>
                <w:color w:val="auto"/>
              </w:rPr>
              <w:t>Power at fuse 2</w:t>
            </w:r>
          </w:p>
        </w:tc>
        <w:tc>
          <w:tcPr>
            <w:tcW w:w="96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D23A8">
              <w:rPr>
                <w:rFonts w:eastAsiaTheme="minorEastAsia"/>
                <w:b/>
              </w:rPr>
              <w:t>12.8</w:t>
            </w:r>
          </w:p>
        </w:tc>
        <w:tc>
          <w:tcPr>
            <w:tcW w:w="117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ED23A8">
              <w:rPr>
                <w:rFonts w:asciiTheme="minorHAnsi" w:eastAsiaTheme="minorEastAsia" w:hAnsiTheme="minorHAnsi" w:cstheme="minorBidi"/>
                <w:color w:val="auto"/>
              </w:rPr>
              <w:t>—</w:t>
            </w:r>
          </w:p>
        </w:tc>
      </w:tr>
      <w:tr w:rsidR="00ED23A8" w:rsidTr="00ED23A8">
        <w:trPr>
          <w:gridAfter w:val="3"/>
          <w:cnfStyle w:val="000000100000" w:firstRow="0" w:lastRow="0" w:firstColumn="0" w:lastColumn="0" w:oddVBand="0" w:evenVBand="0" w:oddHBand="1" w:evenHBand="0" w:firstRowFirstColumn="0" w:firstRowLastColumn="0" w:lastRowFirstColumn="0" w:lastRowLastColumn="0"/>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rsidP="00FE14F6">
            <w:pPr>
              <w:rPr>
                <w:rFonts w:eastAsiaTheme="minorEastAsia"/>
              </w:rPr>
            </w:pPr>
            <w:r>
              <w:rPr>
                <w:rFonts w:asciiTheme="minorHAnsi" w:eastAsiaTheme="minorEastAsia" w:hAnsiTheme="minorHAnsi" w:cstheme="minorBidi"/>
                <w:color w:val="auto"/>
              </w:rPr>
              <w:lastRenderedPageBreak/>
              <w:t xml:space="preserve">Power at </w:t>
            </w:r>
            <w:r w:rsidR="00FE14F6">
              <w:rPr>
                <w:rFonts w:asciiTheme="minorHAnsi" w:eastAsiaTheme="minorEastAsia" w:hAnsiTheme="minorHAnsi" w:cstheme="minorBidi"/>
                <w:color w:val="auto"/>
              </w:rPr>
              <w:t>Cell modem</w:t>
            </w:r>
            <w:bookmarkStart w:id="2" w:name="_GoBack"/>
            <w:bookmarkEnd w:id="2"/>
          </w:p>
        </w:tc>
        <w:tc>
          <w:tcPr>
            <w:tcW w:w="969" w:type="pct"/>
          </w:tcPr>
          <w:p w:rsidR="00ED23A8" w:rsidRPr="00ED23A8" w:rsidRDefault="00ED23A8">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ED23A8">
              <w:rPr>
                <w:rFonts w:eastAsiaTheme="minorEastAsia"/>
                <w:b/>
              </w:rPr>
              <w:t>12.8</w:t>
            </w:r>
          </w:p>
        </w:tc>
        <w:tc>
          <w:tcPr>
            <w:tcW w:w="1179" w:type="pct"/>
          </w:tcPr>
          <w:p w:rsidR="00ED23A8" w:rsidRPr="00ED23A8" w:rsidRDefault="00ED23A8">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ED23A8">
              <w:rPr>
                <w:rFonts w:asciiTheme="minorHAnsi" w:eastAsiaTheme="minorEastAsia" w:hAnsiTheme="minorHAnsi" w:cstheme="minorBidi"/>
                <w:color w:val="auto"/>
              </w:rPr>
              <w:t>—</w:t>
            </w:r>
          </w:p>
        </w:tc>
      </w:tr>
      <w:tr w:rsidR="00ED23A8" w:rsidTr="00ED23A8">
        <w:trPr>
          <w:gridAfter w:val="3"/>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Pr="00ED23A8" w:rsidRDefault="00FE14F6">
            <w:pPr>
              <w:rPr>
                <w:rFonts w:eastAsiaTheme="minorEastAsia"/>
                <w:b/>
              </w:rPr>
            </w:pPr>
            <w:r>
              <w:rPr>
                <w:rFonts w:eastAsiaTheme="minorEastAsia"/>
                <w:b/>
              </w:rPr>
              <w:t xml:space="preserve">Power at </w:t>
            </w:r>
            <w:proofErr w:type="spellStart"/>
            <w:r>
              <w:rPr>
                <w:rFonts w:eastAsiaTheme="minorEastAsia"/>
                <w:b/>
              </w:rPr>
              <w:t>PumpPro</w:t>
            </w:r>
            <w:proofErr w:type="spellEnd"/>
          </w:p>
        </w:tc>
        <w:tc>
          <w:tcPr>
            <w:tcW w:w="96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D23A8">
              <w:rPr>
                <w:rFonts w:eastAsiaTheme="minorEastAsia"/>
                <w:b/>
              </w:rPr>
              <w:t>12.8</w:t>
            </w:r>
          </w:p>
        </w:tc>
        <w:tc>
          <w:tcPr>
            <w:tcW w:w="117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D23A8">
              <w:rPr>
                <w:rFonts w:eastAsiaTheme="minorEastAsia"/>
                <w:b/>
              </w:rPr>
              <w:t>0.2</w:t>
            </w:r>
          </w:p>
        </w:tc>
      </w:tr>
      <w:tr w:rsidR="00ED23A8" w:rsidTr="00ED23A8">
        <w:trPr>
          <w:gridAfter w:val="3"/>
          <w:cnfStyle w:val="000000100000" w:firstRow="0" w:lastRow="0" w:firstColumn="0" w:lastColumn="0" w:oddVBand="0" w:evenVBand="0" w:oddHBand="1" w:evenHBand="0" w:firstRowFirstColumn="0" w:firstRowLastColumn="0" w:lastRowFirstColumn="0" w:lastRowLastColumn="0"/>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Pr="00ED23A8" w:rsidRDefault="00ED23A8" w:rsidP="00FE14F6">
            <w:pPr>
              <w:rPr>
                <w:rFonts w:eastAsiaTheme="minorEastAsia"/>
                <w:b/>
              </w:rPr>
            </w:pPr>
            <w:r>
              <w:rPr>
                <w:rFonts w:eastAsiaTheme="minorEastAsia"/>
                <w:b/>
              </w:rPr>
              <w:t xml:space="preserve">Power at </w:t>
            </w:r>
            <w:proofErr w:type="spellStart"/>
            <w:r w:rsidR="00FE14F6">
              <w:rPr>
                <w:rFonts w:eastAsiaTheme="minorEastAsia"/>
                <w:b/>
              </w:rPr>
              <w:t>Starlogger</w:t>
            </w:r>
            <w:proofErr w:type="spellEnd"/>
          </w:p>
        </w:tc>
        <w:tc>
          <w:tcPr>
            <w:tcW w:w="969" w:type="pct"/>
          </w:tcPr>
          <w:p w:rsidR="00ED23A8" w:rsidRPr="00ED23A8" w:rsidRDefault="00ED23A8">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ED23A8">
              <w:rPr>
                <w:rFonts w:eastAsiaTheme="minorEastAsia"/>
                <w:b/>
              </w:rPr>
              <w:t>12.6</w:t>
            </w:r>
          </w:p>
        </w:tc>
        <w:tc>
          <w:tcPr>
            <w:tcW w:w="1179" w:type="pct"/>
          </w:tcPr>
          <w:p w:rsidR="00ED23A8" w:rsidRPr="00ED23A8" w:rsidRDefault="00ED23A8">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ED23A8">
              <w:rPr>
                <w:rFonts w:eastAsiaTheme="minorEastAsia"/>
                <w:b/>
              </w:rPr>
              <w:t>0.5</w:t>
            </w:r>
          </w:p>
        </w:tc>
      </w:tr>
      <w:tr w:rsidR="00ED23A8" w:rsidTr="00ED23A8">
        <w:trPr>
          <w:gridAfter w:val="3"/>
          <w:wAfter w:w="1526" w:type="pct"/>
          <w:trHeight w:val="364"/>
        </w:trPr>
        <w:tc>
          <w:tcPr>
            <w:cnfStyle w:val="001000000000" w:firstRow="0" w:lastRow="0" w:firstColumn="1" w:lastColumn="0" w:oddVBand="0" w:evenVBand="0" w:oddHBand="0" w:evenHBand="0" w:firstRowFirstColumn="0" w:firstRowLastColumn="0" w:lastRowFirstColumn="0" w:lastRowLastColumn="0"/>
            <w:tcW w:w="1326" w:type="pct"/>
            <w:noWrap/>
          </w:tcPr>
          <w:p w:rsidR="00ED23A8" w:rsidRDefault="00ED23A8">
            <w:pPr>
              <w:rPr>
                <w:rFonts w:eastAsiaTheme="minorEastAsia"/>
                <w:b/>
              </w:rPr>
            </w:pPr>
            <w:r>
              <w:rPr>
                <w:rFonts w:eastAsiaTheme="minorEastAsia"/>
                <w:b/>
              </w:rPr>
              <w:t>Power on Din Rail</w:t>
            </w:r>
          </w:p>
        </w:tc>
        <w:tc>
          <w:tcPr>
            <w:tcW w:w="96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12.8</w:t>
            </w:r>
          </w:p>
        </w:tc>
        <w:tc>
          <w:tcPr>
            <w:tcW w:w="1179" w:type="pct"/>
          </w:tcPr>
          <w:p w:rsidR="00ED23A8" w:rsidRPr="00ED23A8" w:rsidRDefault="00ED23A8">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ED23A8">
              <w:rPr>
                <w:rFonts w:asciiTheme="minorHAnsi" w:eastAsiaTheme="minorEastAsia" w:hAnsiTheme="minorHAnsi" w:cstheme="minorBidi"/>
                <w:color w:val="auto"/>
              </w:rPr>
              <w:t>—</w:t>
            </w:r>
          </w:p>
        </w:tc>
      </w:tr>
    </w:tbl>
    <w:p w:rsidR="00D731F4" w:rsidRDefault="00D731F4" w:rsidP="00D731F4">
      <w:pPr>
        <w:spacing w:after="0" w:line="240" w:lineRule="auto"/>
      </w:pPr>
    </w:p>
    <w:p w:rsidR="000F6CB6" w:rsidRDefault="000F6CB6" w:rsidP="00D731F4">
      <w:pPr>
        <w:spacing w:after="0" w:line="240" w:lineRule="auto"/>
        <w:rPr>
          <w:i/>
        </w:rPr>
      </w:pPr>
      <w:r w:rsidRPr="000F6CB6">
        <w:rPr>
          <w:i/>
        </w:rPr>
        <w:t>The next page has a printable table for writing down your station power findings.</w:t>
      </w:r>
    </w:p>
    <w:p w:rsidR="000F6CB6" w:rsidRDefault="000F6CB6" w:rsidP="00D731F4">
      <w:pPr>
        <w:spacing w:after="0" w:line="240" w:lineRule="auto"/>
        <w:rPr>
          <w:i/>
        </w:rPr>
      </w:pPr>
    </w:p>
    <w:tbl>
      <w:tblPr>
        <w:tblW w:w="7560" w:type="dxa"/>
        <w:tblLook w:val="04A0" w:firstRow="1" w:lastRow="0" w:firstColumn="1" w:lastColumn="0" w:noHBand="0" w:noVBand="1"/>
      </w:tblPr>
      <w:tblGrid>
        <w:gridCol w:w="4560"/>
        <w:gridCol w:w="1500"/>
        <w:gridCol w:w="1500"/>
      </w:tblGrid>
      <w:tr w:rsidR="000F6CB6" w:rsidRPr="000F6CB6" w:rsidTr="000F6CB6">
        <w:trPr>
          <w:trHeight w:val="525"/>
        </w:trPr>
        <w:tc>
          <w:tcPr>
            <w:tcW w:w="6060" w:type="dxa"/>
            <w:gridSpan w:val="2"/>
            <w:tcBorders>
              <w:top w:val="nil"/>
              <w:left w:val="nil"/>
              <w:bottom w:val="nil"/>
              <w:right w:val="nil"/>
            </w:tcBorders>
            <w:shd w:val="clear" w:color="auto" w:fill="auto"/>
            <w:noWrap/>
            <w:vAlign w:val="bottom"/>
            <w:hideMark/>
          </w:tcPr>
          <w:p w:rsidR="000F6CB6" w:rsidRPr="000F6CB6" w:rsidRDefault="000F6CB6" w:rsidP="000F6CB6">
            <w:pPr>
              <w:spacing w:after="0" w:line="240" w:lineRule="auto"/>
              <w:rPr>
                <w:rFonts w:ascii="Calibri" w:eastAsia="Times New Roman" w:hAnsi="Calibri" w:cs="Times New Roman"/>
                <w:b/>
                <w:bCs/>
                <w:color w:val="000000"/>
                <w:sz w:val="28"/>
                <w:szCs w:val="28"/>
                <w:lang w:eastAsia="en-NZ"/>
              </w:rPr>
            </w:pPr>
            <w:r w:rsidRPr="000F6CB6">
              <w:rPr>
                <w:rFonts w:ascii="Calibri" w:eastAsia="Times New Roman" w:hAnsi="Calibri" w:cs="Times New Roman"/>
                <w:b/>
                <w:bCs/>
                <w:color w:val="000000"/>
                <w:sz w:val="28"/>
                <w:szCs w:val="28"/>
                <w:lang w:eastAsia="en-NZ"/>
              </w:rPr>
              <w:t>Station power supply check</w:t>
            </w:r>
            <w:r>
              <w:rPr>
                <w:rFonts w:ascii="Calibri" w:eastAsia="Times New Roman" w:hAnsi="Calibri" w:cs="Times New Roman"/>
                <w:b/>
                <w:bCs/>
                <w:color w:val="000000"/>
                <w:sz w:val="28"/>
                <w:szCs w:val="28"/>
                <w:lang w:eastAsia="en-NZ"/>
              </w:rPr>
              <w:t xml:space="preserve"> list</w:t>
            </w:r>
            <w:r w:rsidRPr="000F6CB6">
              <w:rPr>
                <w:rFonts w:ascii="Calibri" w:eastAsia="Times New Roman" w:hAnsi="Calibri" w:cs="Times New Roman"/>
                <w:b/>
                <w:bCs/>
                <w:color w:val="000000"/>
                <w:sz w:val="28"/>
                <w:szCs w:val="28"/>
                <w:lang w:eastAsia="en-NZ"/>
              </w:rPr>
              <w:t>:</w:t>
            </w:r>
          </w:p>
        </w:tc>
        <w:tc>
          <w:tcPr>
            <w:tcW w:w="1500" w:type="dxa"/>
            <w:tcBorders>
              <w:top w:val="nil"/>
              <w:left w:val="nil"/>
              <w:bottom w:val="nil"/>
              <w:right w:val="nil"/>
            </w:tcBorders>
            <w:shd w:val="clear" w:color="auto" w:fill="auto"/>
            <w:noWrap/>
            <w:vAlign w:val="bottom"/>
            <w:hideMark/>
          </w:tcPr>
          <w:p w:rsidR="000F6CB6" w:rsidRPr="000F6CB6" w:rsidRDefault="000F6CB6" w:rsidP="000F6CB6">
            <w:pPr>
              <w:spacing w:after="0" w:line="240" w:lineRule="auto"/>
              <w:rPr>
                <w:rFonts w:ascii="Calibri" w:eastAsia="Times New Roman" w:hAnsi="Calibri" w:cs="Times New Roman"/>
                <w:b/>
                <w:bCs/>
                <w:color w:val="000000"/>
                <w:sz w:val="28"/>
                <w:szCs w:val="28"/>
                <w:lang w:eastAsia="en-NZ"/>
              </w:rPr>
            </w:pPr>
          </w:p>
        </w:tc>
      </w:tr>
      <w:tr w:rsidR="000F6CB6" w:rsidRPr="000F6CB6" w:rsidTr="000F6CB6">
        <w:trPr>
          <w:trHeight w:val="315"/>
        </w:trPr>
        <w:tc>
          <w:tcPr>
            <w:tcW w:w="4560" w:type="dxa"/>
            <w:tcBorders>
              <w:top w:val="nil"/>
              <w:left w:val="nil"/>
              <w:bottom w:val="nil"/>
              <w:right w:val="nil"/>
            </w:tcBorders>
            <w:shd w:val="clear" w:color="auto" w:fill="auto"/>
            <w:noWrap/>
            <w:vAlign w:val="bottom"/>
            <w:hideMark/>
          </w:tcPr>
          <w:p w:rsidR="000F6CB6" w:rsidRPr="000F6CB6" w:rsidRDefault="000F6CB6" w:rsidP="000F6CB6">
            <w:pPr>
              <w:spacing w:after="0" w:line="240" w:lineRule="auto"/>
              <w:rPr>
                <w:rFonts w:ascii="Times New Roman" w:eastAsia="Times New Roman" w:hAnsi="Times New Roman" w:cs="Times New Roman"/>
                <w:sz w:val="20"/>
                <w:szCs w:val="20"/>
                <w:lang w:eastAsia="en-NZ"/>
              </w:rPr>
            </w:pPr>
          </w:p>
        </w:tc>
        <w:tc>
          <w:tcPr>
            <w:tcW w:w="1500" w:type="dxa"/>
            <w:tcBorders>
              <w:top w:val="nil"/>
              <w:left w:val="nil"/>
              <w:bottom w:val="nil"/>
              <w:right w:val="nil"/>
            </w:tcBorders>
            <w:shd w:val="clear" w:color="auto" w:fill="auto"/>
            <w:noWrap/>
            <w:vAlign w:val="bottom"/>
            <w:hideMark/>
          </w:tcPr>
          <w:p w:rsidR="000F6CB6" w:rsidRPr="000F6CB6" w:rsidRDefault="000F6CB6" w:rsidP="000F6CB6">
            <w:pPr>
              <w:spacing w:after="0" w:line="240" w:lineRule="auto"/>
              <w:rPr>
                <w:rFonts w:ascii="Times New Roman" w:eastAsia="Times New Roman" w:hAnsi="Times New Roman" w:cs="Times New Roman"/>
                <w:sz w:val="20"/>
                <w:szCs w:val="20"/>
                <w:lang w:eastAsia="en-NZ"/>
              </w:rPr>
            </w:pPr>
          </w:p>
        </w:tc>
        <w:tc>
          <w:tcPr>
            <w:tcW w:w="1500" w:type="dxa"/>
            <w:tcBorders>
              <w:top w:val="nil"/>
              <w:left w:val="nil"/>
              <w:bottom w:val="nil"/>
              <w:right w:val="nil"/>
            </w:tcBorders>
            <w:shd w:val="clear" w:color="auto" w:fill="auto"/>
            <w:noWrap/>
            <w:vAlign w:val="bottom"/>
            <w:hideMark/>
          </w:tcPr>
          <w:p w:rsidR="000F6CB6" w:rsidRPr="000F6CB6" w:rsidRDefault="000F6CB6" w:rsidP="000F6CB6">
            <w:pPr>
              <w:spacing w:after="0" w:line="240" w:lineRule="auto"/>
              <w:rPr>
                <w:rFonts w:ascii="Times New Roman" w:eastAsia="Times New Roman" w:hAnsi="Times New Roman" w:cs="Times New Roman"/>
                <w:sz w:val="20"/>
                <w:szCs w:val="20"/>
                <w:lang w:eastAsia="en-NZ"/>
              </w:rPr>
            </w:pPr>
          </w:p>
        </w:tc>
      </w:tr>
      <w:tr w:rsidR="000F6CB6" w:rsidRPr="000F6CB6" w:rsidTr="000F6CB6">
        <w:trPr>
          <w:trHeight w:val="300"/>
        </w:trPr>
        <w:tc>
          <w:tcPr>
            <w:tcW w:w="45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Item</w:t>
            </w:r>
          </w:p>
        </w:tc>
        <w:tc>
          <w:tcPr>
            <w:tcW w:w="1500" w:type="dxa"/>
            <w:tcBorders>
              <w:top w:val="single" w:sz="8" w:space="0" w:color="auto"/>
              <w:left w:val="nil"/>
              <w:bottom w:val="single" w:sz="4" w:space="0" w:color="auto"/>
              <w:right w:val="single" w:sz="4" w:space="0" w:color="auto"/>
            </w:tcBorders>
            <w:shd w:val="clear" w:color="000000" w:fill="FFFFFF"/>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Voltage (v)</w:t>
            </w:r>
          </w:p>
        </w:tc>
        <w:tc>
          <w:tcPr>
            <w:tcW w:w="1500" w:type="dxa"/>
            <w:tcBorders>
              <w:top w:val="single" w:sz="8" w:space="0" w:color="auto"/>
              <w:left w:val="nil"/>
              <w:bottom w:val="single" w:sz="4" w:space="0" w:color="auto"/>
              <w:right w:val="single" w:sz="8" w:space="0" w:color="auto"/>
            </w:tcBorders>
            <w:shd w:val="clear" w:color="000000" w:fill="FFFFFF"/>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Current (A)</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Battery direct</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Battery at fuse</w:t>
            </w:r>
          </w:p>
        </w:tc>
        <w:tc>
          <w:tcPr>
            <w:tcW w:w="1500" w:type="dxa"/>
            <w:tcBorders>
              <w:top w:val="nil"/>
              <w:left w:val="nil"/>
              <w:bottom w:val="single" w:sz="4"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c>
          <w:tcPr>
            <w:tcW w:w="1500" w:type="dxa"/>
            <w:tcBorders>
              <w:top w:val="nil"/>
              <w:left w:val="nil"/>
              <w:bottom w:val="single" w:sz="4"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Battery at Regulator</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Solar/mains at Regulator</w:t>
            </w:r>
          </w:p>
        </w:tc>
        <w:tc>
          <w:tcPr>
            <w:tcW w:w="1500" w:type="dxa"/>
            <w:tcBorders>
              <w:top w:val="nil"/>
              <w:left w:val="nil"/>
              <w:bottom w:val="single" w:sz="4"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c>
          <w:tcPr>
            <w:tcW w:w="1500" w:type="dxa"/>
            <w:tcBorders>
              <w:top w:val="nil"/>
              <w:left w:val="nil"/>
              <w:bottom w:val="single" w:sz="4"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Power at fuse 1</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Power at fuse 2</w:t>
            </w:r>
          </w:p>
        </w:tc>
        <w:tc>
          <w:tcPr>
            <w:tcW w:w="1500" w:type="dxa"/>
            <w:tcBorders>
              <w:top w:val="nil"/>
              <w:left w:val="nil"/>
              <w:bottom w:val="single" w:sz="4"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w:eastAsia="Times New Roman" w:hAnsi="Calibri" w:cs="Times New Roman"/>
                <w:color w:val="000000"/>
                <w:lang w:eastAsia="en-NZ"/>
              </w:rPr>
            </w:pPr>
            <w:r w:rsidRPr="000F6CB6">
              <w:rPr>
                <w:rFonts w:ascii="Calibri" w:eastAsia="Times New Roman" w:hAnsi="Calibri" w:cs="Times New Roman"/>
                <w:color w:val="000000"/>
                <w:lang w:val="en-US" w:eastAsia="en-NZ"/>
              </w:rPr>
              <w:t xml:space="preserve">Power at fuse 3 </w:t>
            </w:r>
            <w:proofErr w:type="spellStart"/>
            <w:r w:rsidRPr="000F6CB6">
              <w:rPr>
                <w:rFonts w:ascii="Calibri" w:eastAsia="Times New Roman" w:hAnsi="Calibri" w:cs="Times New Roman"/>
                <w:color w:val="000000"/>
                <w:lang w:val="en-US" w:eastAsia="en-NZ"/>
              </w:rPr>
              <w:t>etc</w:t>
            </w:r>
            <w:proofErr w:type="spellEnd"/>
            <w:r w:rsidRPr="000F6CB6">
              <w:rPr>
                <w:rFonts w:ascii="Calibri" w:eastAsia="Times New Roman" w:hAnsi="Calibri" w:cs="Times New Roman"/>
                <w:color w:val="000000"/>
                <w:lang w:val="en-US" w:eastAsia="en-NZ"/>
              </w:rPr>
              <w:t>…</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Light" w:eastAsia="Times New Roman" w:hAnsi="Calibri Light" w:cs="Times New Roman"/>
                <w:b/>
                <w:color w:val="000000"/>
                <w:lang w:eastAsia="en-NZ"/>
              </w:rPr>
            </w:pPr>
            <w:r w:rsidRPr="000F6CB6">
              <w:rPr>
                <w:rFonts w:ascii="Calibri Light" w:eastAsia="Times New Roman" w:hAnsi="Calibri Light" w:cs="Times New Roman"/>
                <w:b/>
                <w:color w:val="000000"/>
                <w:lang w:val="en-US" w:eastAsia="en-NZ"/>
              </w:rPr>
              <w:t>Power at sensor 1</w:t>
            </w:r>
          </w:p>
        </w:tc>
        <w:tc>
          <w:tcPr>
            <w:tcW w:w="1500" w:type="dxa"/>
            <w:tcBorders>
              <w:top w:val="nil"/>
              <w:left w:val="nil"/>
              <w:bottom w:val="single" w:sz="4"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Light" w:eastAsia="Times New Roman" w:hAnsi="Calibri Light" w:cs="Times New Roman"/>
                <w:b/>
                <w:color w:val="000000"/>
                <w:lang w:eastAsia="en-NZ"/>
              </w:rPr>
            </w:pPr>
            <w:r w:rsidRPr="000F6CB6">
              <w:rPr>
                <w:rFonts w:ascii="Calibri Light" w:eastAsia="Times New Roman" w:hAnsi="Calibri Light" w:cs="Times New Roman"/>
                <w:b/>
                <w:color w:val="000000"/>
                <w:lang w:val="en-US" w:eastAsia="en-NZ"/>
              </w:rPr>
              <w:t xml:space="preserve">Power at sensor 2 </w:t>
            </w:r>
            <w:proofErr w:type="spellStart"/>
            <w:r w:rsidRPr="000F6CB6">
              <w:rPr>
                <w:rFonts w:ascii="Calibri Light" w:eastAsia="Times New Roman" w:hAnsi="Calibri Light" w:cs="Times New Roman"/>
                <w:b/>
                <w:color w:val="000000"/>
                <w:lang w:val="en-US" w:eastAsia="en-NZ"/>
              </w:rPr>
              <w:t>etc</w:t>
            </w:r>
            <w:proofErr w:type="spellEnd"/>
            <w:r w:rsidRPr="000F6CB6">
              <w:rPr>
                <w:rFonts w:ascii="Calibri Light" w:eastAsia="Times New Roman" w:hAnsi="Calibri Light" w:cs="Times New Roman"/>
                <w:b/>
                <w:color w:val="000000"/>
                <w:lang w:val="en-US" w:eastAsia="en-NZ"/>
              </w:rPr>
              <w:t>…</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Light" w:eastAsia="Times New Roman" w:hAnsi="Calibri Light" w:cs="Times New Roman"/>
                <w:b/>
                <w:color w:val="000000"/>
                <w:lang w:eastAsia="en-NZ"/>
              </w:rPr>
            </w:pPr>
            <w:r w:rsidRPr="000F6CB6">
              <w:rPr>
                <w:rFonts w:ascii="Calibri Light" w:eastAsia="Times New Roman" w:hAnsi="Calibri Light" w:cs="Times New Roman"/>
                <w:b/>
                <w:color w:val="000000"/>
                <w:lang w:val="en-US" w:eastAsia="en-NZ"/>
              </w:rPr>
              <w:t>Power on Din Rail</w:t>
            </w:r>
          </w:p>
        </w:tc>
        <w:tc>
          <w:tcPr>
            <w:tcW w:w="1500" w:type="dxa"/>
            <w:tcBorders>
              <w:top w:val="nil"/>
              <w:left w:val="nil"/>
              <w:bottom w:val="single" w:sz="4"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r>
      <w:tr w:rsidR="000F6CB6" w:rsidRPr="000F6CB6" w:rsidTr="000F6CB6">
        <w:trPr>
          <w:trHeight w:val="600"/>
        </w:trPr>
        <w:tc>
          <w:tcPr>
            <w:tcW w:w="4560" w:type="dxa"/>
            <w:tcBorders>
              <w:top w:val="nil"/>
              <w:left w:val="single" w:sz="8" w:space="0" w:color="auto"/>
              <w:bottom w:val="single" w:sz="4"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Light" w:eastAsia="Times New Roman" w:hAnsi="Calibri Light" w:cs="Times New Roman"/>
                <w:color w:val="000000"/>
                <w:lang w:eastAsia="en-NZ"/>
              </w:rPr>
            </w:pPr>
            <w:r w:rsidRPr="000F6CB6">
              <w:rPr>
                <w:rFonts w:ascii="Calibri Light" w:eastAsia="Times New Roman" w:hAnsi="Calibri Light" w:cs="Times New Roman"/>
                <w:b/>
                <w:color w:val="000000"/>
                <w:lang w:eastAsia="en-NZ"/>
              </w:rPr>
              <w:t>Extras</w:t>
            </w:r>
            <w:r w:rsidRPr="000F6CB6">
              <w:rPr>
                <w:rFonts w:ascii="Calibri Light" w:eastAsia="Times New Roman" w:hAnsi="Calibri Light" w:cs="Times New Roman"/>
                <w:color w:val="000000"/>
                <w:lang w:eastAsia="en-NZ"/>
              </w:rPr>
              <w:t xml:space="preserve"> _____________________</w:t>
            </w:r>
          </w:p>
        </w:tc>
        <w:tc>
          <w:tcPr>
            <w:tcW w:w="1500" w:type="dxa"/>
            <w:tcBorders>
              <w:top w:val="nil"/>
              <w:left w:val="nil"/>
              <w:bottom w:val="single" w:sz="4" w:space="0" w:color="auto"/>
              <w:right w:val="single" w:sz="4" w:space="0" w:color="auto"/>
            </w:tcBorders>
            <w:shd w:val="clear" w:color="000000" w:fill="D6E6F4"/>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4" w:space="0" w:color="auto"/>
              <w:right w:val="single" w:sz="8" w:space="0" w:color="auto"/>
            </w:tcBorders>
            <w:shd w:val="clear" w:color="000000" w:fill="D6E6F4"/>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r>
      <w:tr w:rsidR="000F6CB6" w:rsidRPr="000F6CB6" w:rsidTr="000F6CB6">
        <w:trPr>
          <w:trHeight w:val="600"/>
        </w:trPr>
        <w:tc>
          <w:tcPr>
            <w:tcW w:w="4560" w:type="dxa"/>
            <w:tcBorders>
              <w:top w:val="nil"/>
              <w:left w:val="single" w:sz="8" w:space="0" w:color="auto"/>
              <w:bottom w:val="single" w:sz="8" w:space="0" w:color="auto"/>
              <w:right w:val="single" w:sz="4" w:space="0" w:color="auto"/>
            </w:tcBorders>
            <w:shd w:val="clear" w:color="000000" w:fill="FFFFFF"/>
            <w:noWrap/>
            <w:vAlign w:val="center"/>
            <w:hideMark/>
          </w:tcPr>
          <w:p w:rsidR="000F6CB6" w:rsidRPr="000F6CB6" w:rsidRDefault="000F6CB6" w:rsidP="000F6CB6">
            <w:pPr>
              <w:spacing w:after="0" w:line="240" w:lineRule="auto"/>
              <w:rPr>
                <w:rFonts w:ascii="Calibri Light" w:eastAsia="Times New Roman" w:hAnsi="Calibri Light" w:cs="Times New Roman"/>
                <w:color w:val="000000"/>
                <w:lang w:eastAsia="en-NZ"/>
              </w:rPr>
            </w:pPr>
            <w:r w:rsidRPr="000F6CB6">
              <w:rPr>
                <w:rFonts w:ascii="Calibri Light" w:eastAsia="Times New Roman" w:hAnsi="Calibri Light" w:cs="Times New Roman"/>
                <w:b/>
                <w:color w:val="000000"/>
                <w:lang w:eastAsia="en-NZ"/>
              </w:rPr>
              <w:t>Extras</w:t>
            </w:r>
            <w:r w:rsidRPr="000F6CB6">
              <w:rPr>
                <w:rFonts w:ascii="Calibri Light" w:eastAsia="Times New Roman" w:hAnsi="Calibri Light" w:cs="Times New Roman"/>
                <w:color w:val="000000"/>
                <w:lang w:eastAsia="en-NZ"/>
              </w:rPr>
              <w:t xml:space="preserve"> _____________________</w:t>
            </w:r>
          </w:p>
        </w:tc>
        <w:tc>
          <w:tcPr>
            <w:tcW w:w="1500" w:type="dxa"/>
            <w:tcBorders>
              <w:top w:val="nil"/>
              <w:left w:val="nil"/>
              <w:bottom w:val="single" w:sz="8" w:space="0" w:color="auto"/>
              <w:right w:val="single" w:sz="4" w:space="0" w:color="auto"/>
            </w:tcBorders>
            <w:shd w:val="clear" w:color="auto" w:fill="auto"/>
            <w:vAlign w:val="center"/>
            <w:hideMark/>
          </w:tcPr>
          <w:p w:rsidR="000F6CB6" w:rsidRPr="000F6CB6" w:rsidRDefault="000F6CB6" w:rsidP="000F6CB6">
            <w:pPr>
              <w:spacing w:after="0" w:line="240" w:lineRule="auto"/>
              <w:jc w:val="center"/>
              <w:rPr>
                <w:rFonts w:ascii="Calibri Light" w:eastAsia="Times New Roman" w:hAnsi="Calibri Light" w:cs="Times New Roman"/>
                <w:b/>
                <w:bCs/>
                <w:color w:val="000000"/>
                <w:lang w:eastAsia="en-NZ"/>
              </w:rPr>
            </w:pPr>
            <w:r w:rsidRPr="000F6CB6">
              <w:rPr>
                <w:rFonts w:ascii="Calibri Light" w:eastAsia="Times New Roman" w:hAnsi="Calibri Light" w:cs="Times New Roman"/>
                <w:b/>
                <w:bCs/>
                <w:color w:val="000000"/>
                <w:lang w:eastAsia="en-NZ"/>
              </w:rPr>
              <w:t> </w:t>
            </w:r>
          </w:p>
        </w:tc>
        <w:tc>
          <w:tcPr>
            <w:tcW w:w="1500" w:type="dxa"/>
            <w:tcBorders>
              <w:top w:val="nil"/>
              <w:left w:val="nil"/>
              <w:bottom w:val="single" w:sz="8" w:space="0" w:color="auto"/>
              <w:right w:val="single" w:sz="8" w:space="0" w:color="auto"/>
            </w:tcBorders>
            <w:shd w:val="clear" w:color="auto" w:fill="auto"/>
            <w:vAlign w:val="center"/>
            <w:hideMark/>
          </w:tcPr>
          <w:p w:rsidR="000F6CB6" w:rsidRPr="000F6CB6" w:rsidRDefault="000F6CB6" w:rsidP="000F6CB6">
            <w:pPr>
              <w:spacing w:after="0" w:line="240" w:lineRule="auto"/>
              <w:jc w:val="center"/>
              <w:rPr>
                <w:rFonts w:ascii="Calibri" w:eastAsia="Times New Roman" w:hAnsi="Calibri" w:cs="Times New Roman"/>
                <w:color w:val="000000"/>
                <w:lang w:eastAsia="en-NZ"/>
              </w:rPr>
            </w:pPr>
            <w:r w:rsidRPr="000F6CB6">
              <w:rPr>
                <w:rFonts w:ascii="Calibri" w:eastAsia="Times New Roman" w:hAnsi="Calibri" w:cs="Times New Roman"/>
                <w:color w:val="000000"/>
                <w:lang w:eastAsia="en-NZ"/>
              </w:rPr>
              <w:t> </w:t>
            </w:r>
          </w:p>
        </w:tc>
      </w:tr>
    </w:tbl>
    <w:p w:rsidR="000F6CB6" w:rsidRPr="000F6CB6" w:rsidRDefault="000F6CB6" w:rsidP="00D731F4">
      <w:pPr>
        <w:spacing w:after="0" w:line="240" w:lineRule="auto"/>
      </w:pPr>
    </w:p>
    <w:sectPr w:rsidR="000F6CB6" w:rsidRPr="000F6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F1F"/>
    <w:multiLevelType w:val="hybridMultilevel"/>
    <w:tmpl w:val="C8B4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A1DF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F7FAD"/>
    <w:multiLevelType w:val="hybridMultilevel"/>
    <w:tmpl w:val="E36C4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32DA1"/>
    <w:multiLevelType w:val="hybridMultilevel"/>
    <w:tmpl w:val="4BB250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7DC4E68"/>
    <w:multiLevelType w:val="hybridMultilevel"/>
    <w:tmpl w:val="59F8D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870FF2"/>
    <w:multiLevelType w:val="multilevel"/>
    <w:tmpl w:val="15D4EC44"/>
    <w:lvl w:ilvl="0">
      <w:start w:val="1"/>
      <w:numFmt w:val="decimal"/>
      <w:pStyle w:val="Heading1"/>
      <w:lvlText w:val="%1"/>
      <w:lvlJc w:val="left"/>
      <w:pPr>
        <w:tabs>
          <w:tab w:val="num" w:pos="999"/>
        </w:tabs>
        <w:ind w:left="999" w:hanging="432"/>
      </w:pPr>
      <w:rPr>
        <w:rFonts w:hint="default"/>
        <w:sz w:val="28"/>
        <w:szCs w:val="28"/>
      </w:rPr>
    </w:lvl>
    <w:lvl w:ilvl="1">
      <w:start w:val="1"/>
      <w:numFmt w:val="decimal"/>
      <w:pStyle w:val="Heading2"/>
      <w:lvlText w:val="%1.%2"/>
      <w:lvlJc w:val="left"/>
      <w:pPr>
        <w:tabs>
          <w:tab w:val="num" w:pos="860"/>
        </w:tabs>
        <w:ind w:left="860"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77"/>
    <w:rsid w:val="000F6CB6"/>
    <w:rsid w:val="002A224D"/>
    <w:rsid w:val="0030466D"/>
    <w:rsid w:val="00492B77"/>
    <w:rsid w:val="005A6DBC"/>
    <w:rsid w:val="007A75E3"/>
    <w:rsid w:val="008E3CB2"/>
    <w:rsid w:val="00B816B8"/>
    <w:rsid w:val="00D731F4"/>
    <w:rsid w:val="00E23F5F"/>
    <w:rsid w:val="00ED23A8"/>
    <w:rsid w:val="00FE14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D8CEA-ECFD-42F6-A57C-7074C0B5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bodytext"/>
    <w:link w:val="Heading1Char"/>
    <w:qFormat/>
    <w:rsid w:val="00492B77"/>
    <w:pPr>
      <w:keepNext/>
      <w:numPr>
        <w:numId w:val="2"/>
      </w:numPr>
      <w:tabs>
        <w:tab w:val="left" w:pos="-907"/>
        <w:tab w:val="left" w:pos="851"/>
      </w:tabs>
      <w:spacing w:after="60" w:line="240" w:lineRule="auto"/>
      <w:jc w:val="both"/>
      <w:outlineLvl w:val="0"/>
    </w:pPr>
    <w:rPr>
      <w:rFonts w:ascii="Times New Roman" w:eastAsia="Times New Roman" w:hAnsi="Times New Roman" w:cs="Times New Roman"/>
      <w:b/>
      <w:sz w:val="28"/>
      <w:szCs w:val="28"/>
    </w:rPr>
  </w:style>
  <w:style w:type="paragraph" w:styleId="Heading2">
    <w:name w:val="heading 2"/>
    <w:basedOn w:val="Normal"/>
    <w:next w:val="Normalbodytext"/>
    <w:link w:val="Heading2Char"/>
    <w:qFormat/>
    <w:rsid w:val="00492B77"/>
    <w:pPr>
      <w:keepNext/>
      <w:numPr>
        <w:ilvl w:val="1"/>
        <w:numId w:val="2"/>
      </w:numPr>
      <w:tabs>
        <w:tab w:val="left" w:pos="0"/>
      </w:tabs>
      <w:spacing w:before="280" w:after="60" w:line="240" w:lineRule="auto"/>
      <w:outlineLvl w:val="1"/>
    </w:pPr>
    <w:rPr>
      <w:rFonts w:ascii="Times New Roman" w:eastAsia="Times New Roman" w:hAnsi="Times New Roman" w:cs="Times New Roman"/>
      <w:b/>
      <w:szCs w:val="20"/>
    </w:rPr>
  </w:style>
  <w:style w:type="paragraph" w:styleId="Heading3">
    <w:name w:val="heading 3"/>
    <w:basedOn w:val="Normal"/>
    <w:next w:val="Normalbodytext"/>
    <w:link w:val="Heading3Char"/>
    <w:qFormat/>
    <w:rsid w:val="00492B77"/>
    <w:pPr>
      <w:keepNext/>
      <w:numPr>
        <w:ilvl w:val="2"/>
        <w:numId w:val="2"/>
      </w:numPr>
      <w:tabs>
        <w:tab w:val="left" w:pos="0"/>
      </w:tabs>
      <w:spacing w:before="280" w:after="60" w:line="240" w:lineRule="auto"/>
      <w:jc w:val="both"/>
      <w:outlineLvl w:val="2"/>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B77"/>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492B77"/>
    <w:rPr>
      <w:rFonts w:ascii="Times New Roman" w:eastAsia="Times New Roman" w:hAnsi="Times New Roman" w:cs="Times New Roman"/>
      <w:b/>
      <w:szCs w:val="20"/>
    </w:rPr>
  </w:style>
  <w:style w:type="character" w:customStyle="1" w:styleId="Heading3Char">
    <w:name w:val="Heading 3 Char"/>
    <w:basedOn w:val="DefaultParagraphFont"/>
    <w:link w:val="Heading3"/>
    <w:rsid w:val="00492B77"/>
    <w:rPr>
      <w:rFonts w:ascii="Times New Roman" w:eastAsia="Times New Roman" w:hAnsi="Times New Roman" w:cs="Times New Roman"/>
      <w:b/>
      <w:bCs/>
      <w:szCs w:val="20"/>
    </w:rPr>
  </w:style>
  <w:style w:type="paragraph" w:customStyle="1" w:styleId="Normalbodytext">
    <w:name w:val="Normal body text"/>
    <w:basedOn w:val="Normal"/>
    <w:rsid w:val="00492B77"/>
    <w:pPr>
      <w:spacing w:before="120" w:after="240" w:line="28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2A224D"/>
    <w:pPr>
      <w:ind w:left="720"/>
      <w:contextualSpacing/>
    </w:pPr>
  </w:style>
  <w:style w:type="table" w:styleId="MediumList2-Accent1">
    <w:name w:val="Medium List 2 Accent 1"/>
    <w:basedOn w:val="TableNormal"/>
    <w:uiPriority w:val="66"/>
    <w:rsid w:val="00D731F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613">
      <w:bodyDiv w:val="1"/>
      <w:marLeft w:val="0"/>
      <w:marRight w:val="0"/>
      <w:marTop w:val="0"/>
      <w:marBottom w:val="0"/>
      <w:divBdr>
        <w:top w:val="none" w:sz="0" w:space="0" w:color="auto"/>
        <w:left w:val="none" w:sz="0" w:space="0" w:color="auto"/>
        <w:bottom w:val="none" w:sz="0" w:space="0" w:color="auto"/>
        <w:right w:val="none" w:sz="0" w:space="0" w:color="auto"/>
      </w:divBdr>
    </w:div>
    <w:div w:id="4630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7</cp:revision>
  <dcterms:created xsi:type="dcterms:W3CDTF">2017-02-09T03:09:00Z</dcterms:created>
  <dcterms:modified xsi:type="dcterms:W3CDTF">2017-03-28T02:41:00Z</dcterms:modified>
</cp:coreProperties>
</file>