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9B91A6" w14:textId="77777777" w:rsidR="00B7776D" w:rsidRPr="00B7776D" w:rsidRDefault="00B7776D" w:rsidP="00B7776D">
      <w:pPr>
        <w:pStyle w:val="Heading1"/>
        <w:numPr>
          <w:ilvl w:val="0"/>
          <w:numId w:val="0"/>
        </w:numPr>
        <w:ind w:left="-709"/>
        <w:rPr>
          <w:u w:val="single"/>
        </w:rPr>
      </w:pPr>
      <w:bookmarkStart w:id="0" w:name="_Toc212177807"/>
      <w:bookmarkStart w:id="1" w:name="_Toc215287015"/>
      <w:bookmarkStart w:id="2" w:name="_Toc396395237"/>
      <w:r w:rsidRPr="00B7776D">
        <w:rPr>
          <w:u w:val="single"/>
        </w:rPr>
        <w:t>Equipment Deployment</w:t>
      </w:r>
      <w:bookmarkEnd w:id="0"/>
      <w:bookmarkEnd w:id="1"/>
      <w:bookmarkEnd w:id="2"/>
    </w:p>
    <w:p w14:paraId="5F2F3E28" w14:textId="77777777" w:rsidR="00B7776D" w:rsidRDefault="00B7776D" w:rsidP="00B7776D">
      <w:pPr>
        <w:pStyle w:val="Body"/>
      </w:pPr>
      <w:r>
        <w:t>Once a site has been selected, the design and construction of the installation type and deployment of equipment follows.</w:t>
      </w:r>
    </w:p>
    <w:p w14:paraId="32706EDB" w14:textId="77777777" w:rsidR="00B7776D" w:rsidRDefault="00B7776D" w:rsidP="00B7776D">
      <w:pPr>
        <w:pStyle w:val="Heading3"/>
        <w:numPr>
          <w:ilvl w:val="0"/>
          <w:numId w:val="0"/>
        </w:numPr>
        <w:ind w:left="-578"/>
      </w:pPr>
      <w:r>
        <w:t>In this Section</w:t>
      </w:r>
    </w:p>
    <w:p w14:paraId="1E5997BC" w14:textId="77777777" w:rsidR="00B7776D" w:rsidRDefault="00B7776D" w:rsidP="00B7776D">
      <w:pPr>
        <w:pStyle w:val="Body"/>
      </w:pPr>
      <w:r w:rsidRPr="00A4116E">
        <w:t>This section cont</w:t>
      </w:r>
      <w:r>
        <w:t>ains information on:</w:t>
      </w:r>
    </w:p>
    <w:p w14:paraId="6E1EC868" w14:textId="77777777" w:rsidR="00B7776D" w:rsidRDefault="00B7776D" w:rsidP="00B7776D">
      <w:pPr>
        <w:pStyle w:val="BulletIndent1"/>
      </w:pPr>
      <w:r>
        <w:t>acceptable installation types and components</w:t>
      </w:r>
    </w:p>
    <w:p w14:paraId="2DFB3811" w14:textId="77777777" w:rsidR="00B7776D" w:rsidRDefault="00B7776D" w:rsidP="00B7776D">
      <w:pPr>
        <w:pStyle w:val="BulletIndent1"/>
      </w:pPr>
      <w:r>
        <w:t>deployment of equipment and instruments to measure water level, and</w:t>
      </w:r>
    </w:p>
    <w:p w14:paraId="19A2A870" w14:textId="77777777" w:rsidR="00B7776D" w:rsidRDefault="00B7776D" w:rsidP="00B7776D">
      <w:pPr>
        <w:pStyle w:val="BulletIndent1"/>
      </w:pPr>
      <w:r>
        <w:t>basic accuracy requirements.</w:t>
      </w:r>
    </w:p>
    <w:p w14:paraId="10249660" w14:textId="77777777" w:rsidR="00B7776D" w:rsidRPr="00A4116E" w:rsidRDefault="00B7776D" w:rsidP="00B7776D">
      <w:pPr>
        <w:pStyle w:val="Body"/>
      </w:pPr>
      <w:r>
        <w:t>It primarily covers two</w:t>
      </w:r>
      <w:r w:rsidRPr="00A4116E">
        <w:t xml:space="preserve"> factors</w:t>
      </w:r>
      <w:r>
        <w:t xml:space="preserve"> that influence deployment</w:t>
      </w:r>
      <w:r w:rsidRPr="00A4116E">
        <w:t>. These are:</w:t>
      </w:r>
    </w:p>
    <w:p w14:paraId="66A99180" w14:textId="77777777" w:rsidR="00B7776D" w:rsidRDefault="00B7776D" w:rsidP="00B7776D">
      <w:pPr>
        <w:pStyle w:val="BulletIndent1"/>
      </w:pPr>
      <w:r>
        <w:t>the site-</w:t>
      </w:r>
      <w:r w:rsidRPr="00A4116E">
        <w:t xml:space="preserve">related variables that determine the </w:t>
      </w:r>
      <w:r>
        <w:t>type and installation</w:t>
      </w:r>
      <w:r w:rsidRPr="00A4116E">
        <w:t xml:space="preserve"> of</w:t>
      </w:r>
      <w:r>
        <w:t xml:space="preserve"> equipment, and</w:t>
      </w:r>
    </w:p>
    <w:p w14:paraId="123FD749" w14:textId="77777777" w:rsidR="00B7776D" w:rsidRDefault="00B7776D" w:rsidP="00B7776D">
      <w:pPr>
        <w:pStyle w:val="BulletIndent1"/>
      </w:pPr>
      <w:r>
        <w:t>the degree to which the equipment is:</w:t>
      </w:r>
    </w:p>
    <w:p w14:paraId="3632C1B2" w14:textId="77777777" w:rsidR="00B7776D" w:rsidRDefault="00B7776D" w:rsidP="00B7776D">
      <w:pPr>
        <w:pStyle w:val="BulletIndent2"/>
      </w:pPr>
      <w:r>
        <w:t xml:space="preserve">fit for purpose, and </w:t>
      </w:r>
    </w:p>
    <w:p w14:paraId="543D89A7" w14:textId="77777777" w:rsidR="00B7776D" w:rsidRPr="0097718A" w:rsidRDefault="00B7776D" w:rsidP="00B7776D">
      <w:pPr>
        <w:pStyle w:val="BulletIndent2"/>
      </w:pPr>
      <w:r>
        <w:t xml:space="preserve">operated to </w:t>
      </w:r>
      <w:r w:rsidRPr="0097718A">
        <w:t>minimise errors and maximise accuracy.</w:t>
      </w:r>
    </w:p>
    <w:p w14:paraId="57D6AA27" w14:textId="77777777" w:rsidR="00B7776D" w:rsidRDefault="00B7776D" w:rsidP="00B7776D">
      <w:pPr>
        <w:pStyle w:val="Heading3"/>
        <w:numPr>
          <w:ilvl w:val="0"/>
          <w:numId w:val="0"/>
        </w:numPr>
        <w:ind w:left="-578"/>
      </w:pPr>
      <w:r>
        <w:t>Functional Requirement</w:t>
      </w:r>
    </w:p>
    <w:p w14:paraId="614A75E1" w14:textId="77777777" w:rsidR="00B7776D" w:rsidRDefault="00B7776D" w:rsidP="00B7776D">
      <w:pPr>
        <w:pStyle w:val="Body"/>
      </w:pPr>
      <w:r w:rsidRPr="00A4116E">
        <w:t>All equipment used to measure water level must be deployed and maintained to ensure:</w:t>
      </w:r>
    </w:p>
    <w:p w14:paraId="00991F2B" w14:textId="77777777" w:rsidR="00B7776D" w:rsidRDefault="00B7776D" w:rsidP="00B7776D">
      <w:pPr>
        <w:pStyle w:val="BulletIndent1"/>
      </w:pPr>
      <w:r>
        <w:t>s</w:t>
      </w:r>
      <w:r w:rsidRPr="00A4116E">
        <w:t>tationarity of record</w:t>
      </w:r>
    </w:p>
    <w:p w14:paraId="0D4D73B7" w14:textId="77777777" w:rsidR="00B7776D" w:rsidRDefault="00B7776D" w:rsidP="00B7776D">
      <w:pPr>
        <w:pStyle w:val="BulletIndent1"/>
      </w:pPr>
      <w:r>
        <w:t>a</w:t>
      </w:r>
      <w:r w:rsidRPr="00A4116E">
        <w:t>ppropriate resolution of time and recorded stage</w:t>
      </w:r>
      <w:r>
        <w:t>, and</w:t>
      </w:r>
    </w:p>
    <w:p w14:paraId="6F5CE4B5" w14:textId="77777777" w:rsidR="00B7776D" w:rsidRDefault="00B7776D" w:rsidP="00B7776D">
      <w:pPr>
        <w:pStyle w:val="BulletIndent1"/>
      </w:pPr>
      <w:r>
        <w:t>the overall accuracy of water level data.</w:t>
      </w:r>
    </w:p>
    <w:p w14:paraId="59BEE60E" w14:textId="77777777" w:rsidR="00B7776D" w:rsidRDefault="00B7776D" w:rsidP="00B7776D">
      <w:pPr>
        <w:pStyle w:val="Heading2"/>
        <w:numPr>
          <w:ilvl w:val="0"/>
          <w:numId w:val="0"/>
        </w:numPr>
        <w:ind w:left="-709"/>
        <w:rPr>
          <w:sz w:val="24"/>
          <w:u w:val="single"/>
        </w:rPr>
      </w:pPr>
      <w:bookmarkStart w:id="3" w:name="_Toc212177808"/>
      <w:bookmarkStart w:id="4" w:name="_Toc215287016"/>
      <w:bookmarkStart w:id="5" w:name="_Toc396395238"/>
      <w:r>
        <w:lastRenderedPageBreak/>
        <w:t>Station Planning</w:t>
      </w:r>
      <w:bookmarkEnd w:id="3"/>
      <w:bookmarkEnd w:id="4"/>
      <w:bookmarkEnd w:id="5"/>
    </w:p>
    <w:p w14:paraId="0B8C97B5" w14:textId="77777777" w:rsidR="00B7776D" w:rsidRDefault="00B7776D" w:rsidP="00B7776D">
      <w:pPr>
        <w:pStyle w:val="Body"/>
      </w:pPr>
      <w:r>
        <w:t>Planning a station requires consideration of a number of factors that can affect the quality, availability and long-term usefulness of the data that is collected.</w:t>
      </w:r>
    </w:p>
    <w:p w14:paraId="2BA4AE75" w14:textId="77777777" w:rsidR="00B7776D" w:rsidRDefault="00B7776D" w:rsidP="00B7776D">
      <w:pPr>
        <w:pStyle w:val="Body"/>
      </w:pPr>
      <w:r>
        <w:t>These factors are:</w:t>
      </w:r>
    </w:p>
    <w:p w14:paraId="67C57EB7" w14:textId="77777777" w:rsidR="00B7776D" w:rsidRDefault="00B7776D" w:rsidP="00B7776D">
      <w:pPr>
        <w:pStyle w:val="BulletIndent1"/>
      </w:pPr>
      <w:r>
        <w:t>site access</w:t>
      </w:r>
    </w:p>
    <w:p w14:paraId="1E9B25DF" w14:textId="77777777" w:rsidR="00B7776D" w:rsidRDefault="00B7776D" w:rsidP="00B7776D">
      <w:pPr>
        <w:pStyle w:val="BulletIndent1"/>
      </w:pPr>
      <w:r>
        <w:t>materials</w:t>
      </w:r>
    </w:p>
    <w:p w14:paraId="4108AB5C" w14:textId="77777777" w:rsidR="00B7776D" w:rsidRDefault="00B7776D" w:rsidP="00B7776D">
      <w:pPr>
        <w:pStyle w:val="BulletIndent1"/>
      </w:pPr>
      <w:r>
        <w:t>design, and</w:t>
      </w:r>
    </w:p>
    <w:p w14:paraId="04A2CFFA" w14:textId="77777777" w:rsidR="00B7776D" w:rsidRDefault="00B7776D" w:rsidP="00B7776D">
      <w:pPr>
        <w:pStyle w:val="BulletIndent1"/>
      </w:pPr>
      <w:r>
        <w:t>construction method.</w:t>
      </w:r>
    </w:p>
    <w:p w14:paraId="75115E58" w14:textId="77777777" w:rsidR="00B7776D" w:rsidRDefault="00B7776D" w:rsidP="00B7776D">
      <w:pPr>
        <w:pStyle w:val="Note"/>
      </w:pPr>
      <w:r>
        <w:t>Note: Where practicable</w:t>
      </w:r>
      <w:r w:rsidRPr="00063E47">
        <w:t xml:space="preserve"> </w:t>
      </w:r>
      <w:r>
        <w:t xml:space="preserve">any </w:t>
      </w:r>
      <w:r w:rsidRPr="00063E47">
        <w:t xml:space="preserve">construction work </w:t>
      </w:r>
      <w:r>
        <w:t>shall be preceded by</w:t>
      </w:r>
      <w:r w:rsidRPr="00063E47">
        <w:t xml:space="preserve"> a site survey. </w:t>
      </w:r>
    </w:p>
    <w:p w14:paraId="365D3C79" w14:textId="77777777" w:rsidR="00B7776D" w:rsidRDefault="00B7776D" w:rsidP="00B7776D">
      <w:pPr>
        <w:pStyle w:val="Heading3"/>
        <w:numPr>
          <w:ilvl w:val="0"/>
          <w:numId w:val="0"/>
        </w:numPr>
        <w:ind w:left="-578"/>
      </w:pPr>
      <w:r>
        <w:t>Site Access</w:t>
      </w:r>
    </w:p>
    <w:p w14:paraId="31E5B404" w14:textId="77777777" w:rsidR="00B7776D" w:rsidRDefault="00B7776D" w:rsidP="00B7776D">
      <w:pPr>
        <w:pStyle w:val="Body"/>
      </w:pPr>
      <w:r>
        <w:t xml:space="preserve">Safe and convenient access to recording stations is crucial for data collection. </w:t>
      </w:r>
    </w:p>
    <w:p w14:paraId="5437D0EC" w14:textId="77777777" w:rsidR="00B7776D" w:rsidRDefault="00B7776D" w:rsidP="00B7776D">
      <w:pPr>
        <w:pStyle w:val="Body"/>
      </w:pPr>
      <w:r>
        <w:t>Permission shall be obtained for access over and installation of equipment on land, whether private, local authority, corporate or government owned.</w:t>
      </w:r>
    </w:p>
    <w:p w14:paraId="7C56D4E8" w14:textId="77777777" w:rsidR="00B7776D" w:rsidRDefault="00B7776D" w:rsidP="00B7776D">
      <w:pPr>
        <w:pStyle w:val="Body"/>
      </w:pPr>
      <w:r>
        <w:t>Construction work on a site shall begin with work on the access itself, including foot tracks and steps to the work site.</w:t>
      </w:r>
    </w:p>
    <w:p w14:paraId="2A32CD0E" w14:textId="77777777" w:rsidR="00B7776D" w:rsidRDefault="00B7776D" w:rsidP="00B7776D">
      <w:pPr>
        <w:pStyle w:val="Heading3"/>
        <w:numPr>
          <w:ilvl w:val="0"/>
          <w:numId w:val="0"/>
        </w:numPr>
        <w:ind w:left="-578"/>
      </w:pPr>
      <w:r>
        <w:t>Site Survey</w:t>
      </w:r>
    </w:p>
    <w:p w14:paraId="79F166D4" w14:textId="77777777" w:rsidR="00B7776D" w:rsidRPr="004E01A1" w:rsidRDefault="00B7776D" w:rsidP="00B7776D">
      <w:pPr>
        <w:pStyle w:val="Body"/>
      </w:pPr>
      <w:r>
        <w:t>It may be useful to precede construction work with a site survey for the purposes of design. At the least, a station history form should be filled out for the site as soon as records begin, updated following changes, and checked during the annual site inspection (see site factors above).</w:t>
      </w:r>
    </w:p>
    <w:p w14:paraId="3D02BD90" w14:textId="77777777" w:rsidR="00B7776D" w:rsidRDefault="00B7776D" w:rsidP="00B7776D">
      <w:pPr>
        <w:pStyle w:val="Heading3"/>
        <w:numPr>
          <w:ilvl w:val="0"/>
          <w:numId w:val="0"/>
        </w:numPr>
        <w:ind w:left="-578"/>
      </w:pPr>
      <w:bookmarkStart w:id="6" w:name="_Toc119936467"/>
      <w:bookmarkStart w:id="7" w:name="_Toc180236833"/>
      <w:bookmarkStart w:id="8" w:name="_Toc180286021"/>
      <w:bookmarkStart w:id="9" w:name="_Toc180286638"/>
      <w:r>
        <w:t>Materials</w:t>
      </w:r>
      <w:bookmarkEnd w:id="6"/>
      <w:bookmarkEnd w:id="7"/>
      <w:bookmarkEnd w:id="8"/>
      <w:bookmarkEnd w:id="9"/>
    </w:p>
    <w:p w14:paraId="2D2F228B" w14:textId="77777777" w:rsidR="00B7776D" w:rsidRDefault="00B7776D" w:rsidP="00B7776D">
      <w:pPr>
        <w:pStyle w:val="Body"/>
      </w:pPr>
      <w:r>
        <w:t xml:space="preserve">All materials used in installations shall be of adequate strength, thickness and durability for the purpose, and conform to the New Zealand Building Code and Regulations. </w:t>
      </w:r>
    </w:p>
    <w:p w14:paraId="044CF130" w14:textId="77777777" w:rsidR="00B7776D" w:rsidRDefault="00B7776D" w:rsidP="00B7776D">
      <w:pPr>
        <w:pStyle w:val="Note"/>
      </w:pPr>
      <w:r>
        <w:t>Note:</w:t>
      </w:r>
      <w:r>
        <w:tab/>
        <w:t>Remember that many temporary works can become permanent, or be re-used for another purpose.</w:t>
      </w:r>
    </w:p>
    <w:p w14:paraId="16CD64E1" w14:textId="77777777" w:rsidR="00B7776D" w:rsidRDefault="00B7776D" w:rsidP="00B7776D">
      <w:pPr>
        <w:pStyle w:val="Body"/>
      </w:pPr>
      <w:r>
        <w:t>Generally:</w:t>
      </w:r>
    </w:p>
    <w:p w14:paraId="60A3C62E" w14:textId="77777777" w:rsidR="00B7776D" w:rsidRDefault="00B7776D" w:rsidP="00B7776D">
      <w:pPr>
        <w:pStyle w:val="BulletIndent1"/>
      </w:pPr>
      <w:r>
        <w:t>timber should be treated against rot to an appropriate specification (or better)</w:t>
      </w:r>
    </w:p>
    <w:p w14:paraId="05F6C6A1" w14:textId="77777777" w:rsidR="00B7776D" w:rsidRDefault="00B7776D" w:rsidP="00B7776D">
      <w:pPr>
        <w:pStyle w:val="BulletIndent1"/>
      </w:pPr>
      <w:r>
        <w:t>exposed and structural steelwork should be hot-dip galvanised or stainless steel</w:t>
      </w:r>
    </w:p>
    <w:p w14:paraId="672EC1E3" w14:textId="77777777" w:rsidR="00B7776D" w:rsidRDefault="00B7776D" w:rsidP="00B7776D">
      <w:pPr>
        <w:pStyle w:val="BulletIndent1"/>
      </w:pPr>
      <w:r>
        <w:t>wire ropes shall be galvanised, and</w:t>
      </w:r>
    </w:p>
    <w:p w14:paraId="07D11289" w14:textId="77777777" w:rsidR="00B7776D" w:rsidRDefault="00B7776D" w:rsidP="00B7776D">
      <w:pPr>
        <w:pStyle w:val="BulletIndent1"/>
      </w:pPr>
      <w:r>
        <w:t>bolts and nuts shall be galvanised or made of stainless steel.</w:t>
      </w:r>
    </w:p>
    <w:p w14:paraId="7AC0C8EA" w14:textId="77777777" w:rsidR="00B7776D" w:rsidRDefault="00B7776D" w:rsidP="00B7776D">
      <w:pPr>
        <w:pStyle w:val="Body"/>
      </w:pPr>
    </w:p>
    <w:p w14:paraId="50E8AD39" w14:textId="77777777" w:rsidR="00B7776D" w:rsidRPr="008D7731" w:rsidRDefault="00B7776D" w:rsidP="00B7776D">
      <w:pPr>
        <w:rPr>
          <w:rFonts w:ascii="Century Gothic" w:hAnsi="Century Gothic"/>
          <w:bCs/>
          <w:color w:val="31849B"/>
          <w:sz w:val="28"/>
        </w:rPr>
      </w:pPr>
      <w:bookmarkStart w:id="10" w:name="_Toc119936468"/>
      <w:bookmarkStart w:id="11" w:name="_Toc180236834"/>
      <w:bookmarkStart w:id="12" w:name="_Toc180286022"/>
      <w:bookmarkStart w:id="13" w:name="_Toc180286639"/>
      <w:r>
        <w:br w:type="page"/>
      </w:r>
    </w:p>
    <w:p w14:paraId="094A330F" w14:textId="77777777" w:rsidR="00B7776D" w:rsidRDefault="00B7776D" w:rsidP="00B7776D">
      <w:pPr>
        <w:pStyle w:val="Heading3"/>
        <w:numPr>
          <w:ilvl w:val="0"/>
          <w:numId w:val="0"/>
        </w:numPr>
        <w:ind w:left="-578"/>
      </w:pPr>
      <w:r>
        <w:lastRenderedPageBreak/>
        <w:t>Design</w:t>
      </w:r>
      <w:bookmarkEnd w:id="10"/>
      <w:bookmarkEnd w:id="11"/>
      <w:bookmarkEnd w:id="12"/>
      <w:bookmarkEnd w:id="13"/>
    </w:p>
    <w:p w14:paraId="7E9587A2" w14:textId="77777777" w:rsidR="00B7776D" w:rsidRDefault="00B7776D" w:rsidP="00B7776D">
      <w:pPr>
        <w:pStyle w:val="Body"/>
      </w:pPr>
      <w:r>
        <w:t>The design, deployment and installation of systems shall comply with the relevant clauses of the:</w:t>
      </w:r>
    </w:p>
    <w:p w14:paraId="4981531A" w14:textId="77777777" w:rsidR="00B7776D" w:rsidRDefault="00B7776D" w:rsidP="00B7776D">
      <w:pPr>
        <w:pStyle w:val="BulletIndent1"/>
      </w:pPr>
      <w:r>
        <w:t>New Zealand Building Code and Regulations, and</w:t>
      </w:r>
    </w:p>
    <w:p w14:paraId="015DF307" w14:textId="77777777" w:rsidR="00B7776D" w:rsidRDefault="00B7776D" w:rsidP="00B7776D">
      <w:pPr>
        <w:pStyle w:val="BulletIndent1"/>
      </w:pPr>
      <w:r>
        <w:t>Health and Safety Act and Regulations</w:t>
      </w:r>
    </w:p>
    <w:p w14:paraId="0C40FA36" w14:textId="77777777" w:rsidR="00B7776D" w:rsidRDefault="00B7776D" w:rsidP="00B7776D">
      <w:pPr>
        <w:pStyle w:val="Heading4"/>
        <w:numPr>
          <w:ilvl w:val="0"/>
          <w:numId w:val="0"/>
        </w:numPr>
        <w:ind w:left="-578"/>
      </w:pPr>
      <w:r>
        <w:t>Signage</w:t>
      </w:r>
    </w:p>
    <w:p w14:paraId="33CB929B" w14:textId="77777777" w:rsidR="00B7776D" w:rsidRPr="00BD2084" w:rsidRDefault="00B7776D" w:rsidP="00B7776D">
      <w:pPr>
        <w:pStyle w:val="Body"/>
      </w:pPr>
      <w:r>
        <w:t>Where relevant, signage shall be installed to warn of any hazards.</w:t>
      </w:r>
    </w:p>
    <w:p w14:paraId="23C41100" w14:textId="77777777" w:rsidR="00B7776D" w:rsidRDefault="00B7776D" w:rsidP="00B7776D">
      <w:pPr>
        <w:pStyle w:val="Body"/>
      </w:pPr>
      <w:r>
        <w:t>A sign that briefly explains who operates the station, contact details and its purpose, is recommended.</w:t>
      </w:r>
    </w:p>
    <w:p w14:paraId="33CCF02D" w14:textId="77777777" w:rsidR="00B7776D" w:rsidRDefault="00B7776D" w:rsidP="00B7776D">
      <w:pPr>
        <w:pStyle w:val="Heading4"/>
        <w:numPr>
          <w:ilvl w:val="0"/>
          <w:numId w:val="0"/>
        </w:numPr>
        <w:ind w:left="-578"/>
      </w:pPr>
      <w:r>
        <w:t>Security</w:t>
      </w:r>
    </w:p>
    <w:p w14:paraId="5826AEE6" w14:textId="77777777" w:rsidR="00B7776D" w:rsidRPr="00BD2084" w:rsidRDefault="00B7776D" w:rsidP="00B7776D">
      <w:pPr>
        <w:pStyle w:val="Body"/>
      </w:pPr>
      <w:r>
        <w:t>Where relevant, security gates or systems shall be installed for the safety of anyone who visits the vicinity, and to protect the station from vandalism. Protect installations where practicable from interference and damage, including deterioration resulting from the presence of flora and fauna.</w:t>
      </w:r>
    </w:p>
    <w:p w14:paraId="5F1086C1" w14:textId="77777777" w:rsidR="00B7776D" w:rsidRDefault="00B7776D" w:rsidP="00B7776D">
      <w:pPr>
        <w:pStyle w:val="Heading3"/>
        <w:numPr>
          <w:ilvl w:val="0"/>
          <w:numId w:val="0"/>
        </w:numPr>
        <w:ind w:left="-578"/>
      </w:pPr>
      <w:bookmarkStart w:id="14" w:name="_Toc119936469"/>
      <w:bookmarkStart w:id="15" w:name="_Toc180236835"/>
      <w:bookmarkStart w:id="16" w:name="_Toc180286023"/>
      <w:bookmarkStart w:id="17" w:name="_Toc180286640"/>
      <w:r>
        <w:t>Construction Method</w:t>
      </w:r>
      <w:bookmarkEnd w:id="14"/>
      <w:bookmarkEnd w:id="15"/>
      <w:bookmarkEnd w:id="16"/>
      <w:bookmarkEnd w:id="17"/>
    </w:p>
    <w:p w14:paraId="180E9081" w14:textId="77777777" w:rsidR="00B7776D" w:rsidRDefault="00B7776D" w:rsidP="00B7776D">
      <w:pPr>
        <w:pStyle w:val="Heading4"/>
        <w:numPr>
          <w:ilvl w:val="0"/>
          <w:numId w:val="0"/>
        </w:numPr>
        <w:ind w:left="-578"/>
      </w:pPr>
      <w:r>
        <w:t>Rivers and Lakes</w:t>
      </w:r>
    </w:p>
    <w:p w14:paraId="01CA580B" w14:textId="77777777" w:rsidR="00B7776D" w:rsidRDefault="00B7776D" w:rsidP="00B7776D">
      <w:pPr>
        <w:pStyle w:val="Body"/>
      </w:pPr>
      <w:r>
        <w:t>Where used, concrete footings shall be built in accordance with the New Zealand Building Code to ensure the stability of hydrological structures.</w:t>
      </w:r>
    </w:p>
    <w:p w14:paraId="4AA053CB" w14:textId="77777777" w:rsidR="00B7776D" w:rsidRDefault="00B7776D" w:rsidP="00B7776D">
      <w:pPr>
        <w:pStyle w:val="Body"/>
      </w:pPr>
      <w:r>
        <w:t>Generally, recorder stilling wells require concrete foundations to:</w:t>
      </w:r>
    </w:p>
    <w:p w14:paraId="03BB7CA0" w14:textId="77777777" w:rsidR="00B7776D" w:rsidRDefault="00B7776D" w:rsidP="00B7776D">
      <w:pPr>
        <w:pStyle w:val="BulletIndent1"/>
      </w:pPr>
      <w:r>
        <w:t xml:space="preserve">key them to bedrock, or </w:t>
      </w:r>
    </w:p>
    <w:p w14:paraId="4AA8C37E" w14:textId="77777777" w:rsidR="00B7776D" w:rsidRDefault="00B7776D" w:rsidP="00B7776D">
      <w:pPr>
        <w:pStyle w:val="BulletIndent1"/>
      </w:pPr>
      <w:r>
        <w:t>to form a broad and substantial footing in alluvium to prevent subsidence or movement.</w:t>
      </w:r>
    </w:p>
    <w:p w14:paraId="4760898C" w14:textId="77777777" w:rsidR="00B7776D" w:rsidRDefault="00B7776D" w:rsidP="00B7776D">
      <w:pPr>
        <w:pStyle w:val="Body"/>
      </w:pPr>
      <w:r>
        <w:t>Generally, weirs require deep cut-off walls to prevent:</w:t>
      </w:r>
    </w:p>
    <w:p w14:paraId="5D89925B" w14:textId="77777777" w:rsidR="00B7776D" w:rsidRDefault="00B7776D" w:rsidP="00B7776D">
      <w:pPr>
        <w:pStyle w:val="BulletIndent1"/>
      </w:pPr>
      <w:r>
        <w:t xml:space="preserve">leakage, and </w:t>
      </w:r>
    </w:p>
    <w:p w14:paraId="01C08661" w14:textId="77777777" w:rsidR="00B7776D" w:rsidRDefault="00B7776D" w:rsidP="00B7776D">
      <w:pPr>
        <w:pStyle w:val="BulletIndent1"/>
      </w:pPr>
      <w:r>
        <w:t>overturning of the structure.</w:t>
      </w:r>
    </w:p>
    <w:p w14:paraId="51EFD822" w14:textId="77777777" w:rsidR="00B7776D" w:rsidRDefault="00B7776D" w:rsidP="00B7776D">
      <w:pPr>
        <w:pStyle w:val="Body"/>
      </w:pPr>
      <w:r>
        <w:t>Cleaning and preparation of the foundation is essential.</w:t>
      </w:r>
    </w:p>
    <w:p w14:paraId="79436039" w14:textId="77777777" w:rsidR="00B7776D" w:rsidRDefault="00B7776D" w:rsidP="00B7776D">
      <w:pPr>
        <w:pStyle w:val="Note"/>
      </w:pPr>
      <w:r>
        <w:t>Note:</w:t>
      </w:r>
      <w:r>
        <w:tab/>
      </w:r>
      <w:r w:rsidRPr="00D5768F">
        <w:t>Rock bolts can be useful methods of fastening equipment to bedrock, large rocks or concrete structures. These can range from substantial bolts gr</w:t>
      </w:r>
      <w:r>
        <w:t>outed into holes drilled in</w:t>
      </w:r>
      <w:r w:rsidRPr="00D5768F">
        <w:t xml:space="preserve"> bedrock by a compressor</w:t>
      </w:r>
      <w:r>
        <w:t>-</w:t>
      </w:r>
      <w:r w:rsidRPr="00D5768F">
        <w:t>powered drill, to masonry fa</w:t>
      </w:r>
      <w:r>
        <w:t>steners driven into holes in concrete</w:t>
      </w:r>
      <w:r w:rsidRPr="00D5768F">
        <w:t>.</w:t>
      </w:r>
    </w:p>
    <w:p w14:paraId="28CF73AD" w14:textId="77777777" w:rsidR="00B7776D" w:rsidRDefault="00B7776D" w:rsidP="00B7776D">
      <w:pPr>
        <w:pStyle w:val="Heading4"/>
        <w:numPr>
          <w:ilvl w:val="0"/>
          <w:numId w:val="0"/>
        </w:numPr>
        <w:ind w:left="-578"/>
      </w:pPr>
      <w:r>
        <w:t>Groundwater</w:t>
      </w:r>
    </w:p>
    <w:p w14:paraId="39958F30" w14:textId="77777777" w:rsidR="00B7776D" w:rsidRPr="008D7731" w:rsidRDefault="00B7776D" w:rsidP="00B7776D">
      <w:pPr>
        <w:pStyle w:val="Body"/>
      </w:pPr>
      <w:r w:rsidRPr="006C12D1">
        <w:rPr>
          <w:color w:val="auto"/>
        </w:rPr>
        <w:t>Generally</w:t>
      </w:r>
      <w:r w:rsidRPr="008D7731">
        <w:t xml:space="preserve"> groundwater sites are mounte</w:t>
      </w:r>
      <w:r>
        <w:t xml:space="preserve">d on a sturdy steel bore pipe. </w:t>
      </w:r>
      <w:r w:rsidRPr="008D7731">
        <w:t>If this is not the case, ensure that the datum will remain stable and structural strength is adequate by using suitable construction methods and materials.  Allow for easy access to recording equipment.</w:t>
      </w:r>
    </w:p>
    <w:p w14:paraId="39A2E806" w14:textId="77777777" w:rsidR="00B7776D" w:rsidRDefault="00B7776D" w:rsidP="00B7776D">
      <w:pPr>
        <w:rPr>
          <w:rFonts w:ascii="Century Gothic" w:eastAsiaTheme="majorEastAsia" w:hAnsi="Century Gothic" w:cstheme="majorBidi"/>
          <w:bCs/>
          <w:iCs/>
          <w:color w:val="1F3864" w:themeColor="accent5" w:themeShade="80"/>
          <w:sz w:val="22"/>
        </w:rPr>
      </w:pPr>
      <w:r>
        <w:br w:type="page"/>
      </w:r>
    </w:p>
    <w:p w14:paraId="39AC01E0" w14:textId="77777777" w:rsidR="00B7776D" w:rsidRDefault="00B7776D" w:rsidP="00B7776D">
      <w:pPr>
        <w:pStyle w:val="Heading4"/>
        <w:numPr>
          <w:ilvl w:val="0"/>
          <w:numId w:val="0"/>
        </w:numPr>
        <w:ind w:left="-578"/>
      </w:pPr>
      <w:r>
        <w:lastRenderedPageBreak/>
        <w:t>Sea Level</w:t>
      </w:r>
    </w:p>
    <w:p w14:paraId="16D0C419" w14:textId="77777777" w:rsidR="00B7776D" w:rsidRPr="00E83596" w:rsidRDefault="00B7776D" w:rsidP="00B7776D">
      <w:pPr>
        <w:pStyle w:val="Body"/>
      </w:pPr>
      <w:r>
        <w:t>Because of the coastal location of sea level sites, the following should be considered:</w:t>
      </w:r>
    </w:p>
    <w:p w14:paraId="61FF9EC3" w14:textId="77777777" w:rsidR="00B7776D" w:rsidRPr="00C16985" w:rsidRDefault="00B7776D" w:rsidP="00B7776D">
      <w:pPr>
        <w:pStyle w:val="BulletIndent1"/>
      </w:pPr>
      <w:r>
        <w:t xml:space="preserve">The use of Grade </w:t>
      </w:r>
      <w:r w:rsidRPr="00C16985">
        <w:t xml:space="preserve">316 </w:t>
      </w:r>
      <w:r>
        <w:t>s</w:t>
      </w:r>
      <w:r w:rsidRPr="00C16985">
        <w:t>tain</w:t>
      </w:r>
      <w:r>
        <w:t>less steel components</w:t>
      </w:r>
    </w:p>
    <w:p w14:paraId="267A9B13" w14:textId="77777777" w:rsidR="00B7776D" w:rsidRPr="00C16985" w:rsidRDefault="00B7776D" w:rsidP="00B7776D">
      <w:pPr>
        <w:pStyle w:val="BulletIndent1"/>
      </w:pPr>
      <w:r>
        <w:t>Time construction around t</w:t>
      </w:r>
      <w:r w:rsidRPr="00C16985">
        <w:t xml:space="preserve">he low cycle of a ‘king’ </w:t>
      </w:r>
      <w:r>
        <w:t>tide</w:t>
      </w:r>
    </w:p>
    <w:p w14:paraId="489BE186" w14:textId="77777777" w:rsidR="00B7776D" w:rsidRDefault="00B7776D" w:rsidP="00B7776D">
      <w:pPr>
        <w:pStyle w:val="BulletIndent1"/>
      </w:pPr>
      <w:r>
        <w:t>The u</w:t>
      </w:r>
      <w:r w:rsidRPr="00C16985">
        <w:t>se of an epoxy that sets underwater</w:t>
      </w:r>
    </w:p>
    <w:p w14:paraId="1F279F4F" w14:textId="77777777" w:rsidR="00B7776D" w:rsidRDefault="00B7776D" w:rsidP="00B7776D">
      <w:pPr>
        <w:pStyle w:val="BulletIndent1"/>
      </w:pPr>
      <w:r>
        <w:t>Consider the u</w:t>
      </w:r>
      <w:r w:rsidRPr="00C16985">
        <w:t>se battery-powered tools</w:t>
      </w:r>
      <w:r>
        <w:t xml:space="preserve"> when working around salt water</w:t>
      </w:r>
      <w:bookmarkStart w:id="18" w:name="_GoBack"/>
      <w:bookmarkEnd w:id="18"/>
    </w:p>
    <w:p w14:paraId="4E175411" w14:textId="77777777" w:rsidR="00B7776D" w:rsidRDefault="00B7776D" w:rsidP="00B7776D">
      <w:pPr>
        <w:pStyle w:val="Note"/>
      </w:pPr>
    </w:p>
    <w:p w14:paraId="7000FD1E" w14:textId="77777777" w:rsidR="00B7776D" w:rsidRDefault="00B7776D" w:rsidP="00B7776D">
      <w:pPr>
        <w:pStyle w:val="Heading2"/>
        <w:numPr>
          <w:ilvl w:val="0"/>
          <w:numId w:val="0"/>
        </w:numPr>
        <w:ind w:left="-709"/>
      </w:pPr>
      <w:bookmarkStart w:id="19" w:name="_Toc212177809"/>
      <w:bookmarkStart w:id="20" w:name="_Toc215287017"/>
      <w:bookmarkStart w:id="21" w:name="_Toc396395239"/>
      <w:bookmarkStart w:id="22" w:name="_Toc119936463"/>
      <w:bookmarkStart w:id="23" w:name="_Toc180236829"/>
      <w:bookmarkStart w:id="24" w:name="_Toc180286017"/>
      <w:bookmarkStart w:id="25" w:name="_Toc180286634"/>
      <w:r>
        <w:lastRenderedPageBreak/>
        <w:t>Station Documentation</w:t>
      </w:r>
      <w:bookmarkEnd w:id="19"/>
      <w:bookmarkEnd w:id="20"/>
      <w:bookmarkEnd w:id="21"/>
    </w:p>
    <w:p w14:paraId="70FB6C25" w14:textId="77777777" w:rsidR="00B7776D" w:rsidRPr="00AF30C0" w:rsidRDefault="00B7776D" w:rsidP="00B7776D">
      <w:pPr>
        <w:pStyle w:val="Heading3"/>
        <w:numPr>
          <w:ilvl w:val="0"/>
          <w:numId w:val="0"/>
        </w:numPr>
        <w:ind w:left="-578"/>
      </w:pPr>
      <w:r w:rsidRPr="00AF30C0">
        <w:t>Site Identifier Allocation</w:t>
      </w:r>
      <w:bookmarkEnd w:id="22"/>
      <w:bookmarkEnd w:id="23"/>
      <w:bookmarkEnd w:id="24"/>
      <w:bookmarkEnd w:id="25"/>
    </w:p>
    <w:p w14:paraId="7870B835" w14:textId="77777777" w:rsidR="00B7776D" w:rsidRPr="00AF30C0" w:rsidRDefault="00B7776D" w:rsidP="00B7776D">
      <w:pPr>
        <w:pStyle w:val="Body"/>
      </w:pPr>
      <w:r w:rsidRPr="00AF30C0">
        <w:t>All stations shall be allocated a unique identifier such as a site number or name.</w:t>
      </w:r>
    </w:p>
    <w:p w14:paraId="1757B155" w14:textId="77777777" w:rsidR="00B7776D" w:rsidRPr="00AF30C0" w:rsidRDefault="00B7776D" w:rsidP="00B7776D">
      <w:pPr>
        <w:pStyle w:val="Note"/>
      </w:pPr>
      <w:r w:rsidRPr="00AF30C0">
        <w:t>Note: It is the responsibility of the recording agency to catalogue and register the site ID.</w:t>
      </w:r>
    </w:p>
    <w:p w14:paraId="1A3AC8E5" w14:textId="77777777" w:rsidR="00B7776D" w:rsidRPr="00AF30C0" w:rsidRDefault="00B7776D" w:rsidP="00B7776D">
      <w:pPr>
        <w:pStyle w:val="Body"/>
      </w:pPr>
      <w:r w:rsidRPr="00AF30C0">
        <w:t>The index to hydrological recording sites in NZ can be used to allocate site identifiers.</w:t>
      </w:r>
    </w:p>
    <w:p w14:paraId="5C39C9D0" w14:textId="77777777" w:rsidR="00B7776D" w:rsidRDefault="00B7776D" w:rsidP="00B7776D">
      <w:pPr>
        <w:pStyle w:val="Note"/>
      </w:pPr>
      <w:r w:rsidRPr="00AF30C0">
        <w:t>Note:</w:t>
      </w:r>
      <w:r w:rsidRPr="00AF30C0">
        <w:tab/>
        <w:t>New Zealand has a system of water-level recording station numbers based on river numbers. NIWA, some regional and district councils, and various other companies use this system. Stations are listed in a site index publication ( Refer: Walter, K. 2000: Index to hydrological recording sites in NZ. NIWA Technical Report 73).</w:t>
      </w:r>
      <w:r>
        <w:t xml:space="preserve"> </w:t>
      </w:r>
    </w:p>
    <w:p w14:paraId="30001B7D" w14:textId="77777777" w:rsidR="00B7776D" w:rsidRDefault="00B7776D" w:rsidP="00B7776D">
      <w:pPr>
        <w:pStyle w:val="Heading3"/>
        <w:numPr>
          <w:ilvl w:val="0"/>
          <w:numId w:val="0"/>
        </w:numPr>
        <w:ind w:left="-578"/>
      </w:pPr>
      <w:bookmarkStart w:id="26" w:name="_Toc119936464"/>
      <w:bookmarkStart w:id="27" w:name="_Toc180236830"/>
      <w:bookmarkStart w:id="28" w:name="_Toc180286018"/>
      <w:bookmarkStart w:id="29" w:name="_Toc180286635"/>
      <w:r>
        <w:t>Station History</w:t>
      </w:r>
      <w:bookmarkEnd w:id="26"/>
      <w:bookmarkEnd w:id="27"/>
      <w:bookmarkEnd w:id="28"/>
      <w:bookmarkEnd w:id="29"/>
    </w:p>
    <w:p w14:paraId="0F2B459B" w14:textId="77777777" w:rsidR="00B7776D" w:rsidRDefault="00B7776D" w:rsidP="00B7776D">
      <w:pPr>
        <w:pStyle w:val="Heading4"/>
        <w:numPr>
          <w:ilvl w:val="0"/>
          <w:numId w:val="0"/>
        </w:numPr>
        <w:ind w:left="-578"/>
      </w:pPr>
      <w:r>
        <w:t xml:space="preserve">Station History Record </w:t>
      </w:r>
    </w:p>
    <w:p w14:paraId="0A1A11D2" w14:textId="77777777" w:rsidR="00B7776D" w:rsidRDefault="00B7776D" w:rsidP="00B7776D">
      <w:pPr>
        <w:pStyle w:val="Body"/>
      </w:pPr>
      <w:r>
        <w:t>As a minimum, a station history record shall</w:t>
      </w:r>
      <w:r w:rsidRPr="00B834F6">
        <w:t xml:space="preserve"> be</w:t>
      </w:r>
      <w:r w:rsidRPr="00C138B6">
        <w:t xml:space="preserve"> </w:t>
      </w:r>
      <w:r>
        <w:t xml:space="preserve">established </w:t>
      </w:r>
      <w:r w:rsidRPr="00C138B6">
        <w:t>for all water-level stations as the main part of their metadata</w:t>
      </w:r>
      <w:r>
        <w:t xml:space="preserve"> and be:</w:t>
      </w:r>
    </w:p>
    <w:p w14:paraId="252A55D8" w14:textId="77777777" w:rsidR="00B7776D" w:rsidRDefault="00B7776D" w:rsidP="00B7776D">
      <w:pPr>
        <w:pStyle w:val="BulletIndent1"/>
      </w:pPr>
      <w:r w:rsidRPr="00B834F6">
        <w:t>filled out for the</w:t>
      </w:r>
      <w:r>
        <w:t xml:space="preserve"> site as soon as records begin</w:t>
      </w:r>
    </w:p>
    <w:p w14:paraId="642C0DEB" w14:textId="77777777" w:rsidR="00B7776D" w:rsidRDefault="00B7776D" w:rsidP="00B7776D">
      <w:pPr>
        <w:pStyle w:val="BulletIndent1"/>
      </w:pPr>
      <w:r w:rsidRPr="00B834F6">
        <w:t xml:space="preserve">checked </w:t>
      </w:r>
      <w:r>
        <w:t>and updated during the</w:t>
      </w:r>
      <w:r w:rsidRPr="00B834F6">
        <w:t xml:space="preserve"> </w:t>
      </w:r>
      <w:r>
        <w:t>periodic</w:t>
      </w:r>
      <w:r w:rsidRPr="00B834F6">
        <w:t xml:space="preserve"> site </w:t>
      </w:r>
      <w:r>
        <w:t>surveys</w:t>
      </w:r>
    </w:p>
    <w:p w14:paraId="091ED108" w14:textId="77777777" w:rsidR="00B7776D" w:rsidRDefault="00B7776D" w:rsidP="00B7776D">
      <w:pPr>
        <w:pStyle w:val="BulletIndent1"/>
      </w:pPr>
      <w:r w:rsidRPr="00D5768F">
        <w:t>updated whenever there are chang</w:t>
      </w:r>
      <w:r>
        <w:t>es to site parameters</w:t>
      </w:r>
    </w:p>
    <w:p w14:paraId="7E45DF84" w14:textId="77777777" w:rsidR="00B7776D" w:rsidRDefault="00B7776D" w:rsidP="00B7776D">
      <w:pPr>
        <w:pStyle w:val="BulletIndent1"/>
      </w:pPr>
      <w:r>
        <w:t>updated whenever there are changes to what is recorded on the form, and</w:t>
      </w:r>
    </w:p>
    <w:p w14:paraId="599CD352" w14:textId="77777777" w:rsidR="00B7776D" w:rsidRPr="00D5768F" w:rsidRDefault="00B7776D" w:rsidP="00B7776D">
      <w:pPr>
        <w:pStyle w:val="BulletIndent1"/>
      </w:pPr>
      <w:r>
        <w:t>any updates of an existing record should be in the form of an additional record rather than an overwrite.</w:t>
      </w:r>
      <w:r w:rsidRPr="00D5768F">
        <w:t xml:space="preserve"> </w:t>
      </w:r>
      <w:r>
        <w:t>This will ensure that the station history is maintained.</w:t>
      </w:r>
    </w:p>
    <w:p w14:paraId="7063E11B" w14:textId="77777777" w:rsidR="00B7776D" w:rsidRDefault="00B7776D" w:rsidP="00B7776D">
      <w:pPr>
        <w:pStyle w:val="Note"/>
      </w:pPr>
      <w:r>
        <w:t>Note: The Station History form provides a record of, for example, installations, equipment types, data collected, benchmarks and levels, location, the</w:t>
      </w:r>
      <w:r w:rsidRPr="00C06A32">
        <w:t xml:space="preserve"> site</w:t>
      </w:r>
      <w:r>
        <w:t>s</w:t>
      </w:r>
      <w:r w:rsidRPr="00C06A32">
        <w:t xml:space="preserve"> </w:t>
      </w:r>
      <w:r>
        <w:t xml:space="preserve">initial purpose </w:t>
      </w:r>
      <w:r w:rsidRPr="00C06A32">
        <w:t>(</w:t>
      </w:r>
      <w:r>
        <w:t>e.g., l</w:t>
      </w:r>
      <w:r w:rsidRPr="00C06A32">
        <w:t>ow flow</w:t>
      </w:r>
      <w:r>
        <w:t xml:space="preserve"> and</w:t>
      </w:r>
      <w:r w:rsidRPr="00C06A32">
        <w:t xml:space="preserve"> </w:t>
      </w:r>
      <w:r>
        <w:t>flood) ownership of land and history for each station. For more information, see ‘</w:t>
      </w:r>
      <w:r>
        <w:fldChar w:fldCharType="begin"/>
      </w:r>
      <w:r>
        <w:instrText xml:space="preserve"> REF Annex_C \h </w:instrText>
      </w:r>
      <w:r>
        <w:fldChar w:fldCharType="separate"/>
      </w:r>
      <w:r>
        <w:t>Annex C – Hydrological Station History Form</w:t>
      </w:r>
      <w:r>
        <w:fldChar w:fldCharType="end"/>
      </w:r>
      <w:r>
        <w:t>’.</w:t>
      </w:r>
    </w:p>
    <w:p w14:paraId="42BFAD5D" w14:textId="77777777" w:rsidR="00B7776D" w:rsidRDefault="00B7776D" w:rsidP="00B7776D">
      <w:pPr>
        <w:pStyle w:val="Heading1"/>
        <w:numPr>
          <w:ilvl w:val="0"/>
          <w:numId w:val="0"/>
        </w:numPr>
        <w:ind w:left="-709"/>
      </w:pPr>
      <w:bookmarkStart w:id="30" w:name="_Toc212177816"/>
      <w:bookmarkStart w:id="31" w:name="_Toc215287024"/>
      <w:bookmarkStart w:id="32" w:name="_Toc396395245"/>
      <w:r>
        <w:lastRenderedPageBreak/>
        <w:t>Sensing Devices, Wells &amp; Recording Requirements</w:t>
      </w:r>
      <w:bookmarkEnd w:id="30"/>
      <w:bookmarkEnd w:id="31"/>
      <w:bookmarkEnd w:id="32"/>
    </w:p>
    <w:p w14:paraId="4E6A99A2" w14:textId="77777777" w:rsidR="00B7776D" w:rsidRDefault="00B7776D" w:rsidP="00B7776D">
      <w:pPr>
        <w:pStyle w:val="Heading3"/>
        <w:numPr>
          <w:ilvl w:val="0"/>
          <w:numId w:val="0"/>
        </w:numPr>
        <w:ind w:left="-578"/>
      </w:pPr>
      <w:r>
        <w:t>In this Section</w:t>
      </w:r>
    </w:p>
    <w:p w14:paraId="6A94B550" w14:textId="77777777" w:rsidR="00B7776D" w:rsidRDefault="00B7776D" w:rsidP="00B7776D">
      <w:pPr>
        <w:pStyle w:val="Body"/>
      </w:pPr>
      <w:r w:rsidRPr="00DB420A">
        <w:t xml:space="preserve">This section contains information </w:t>
      </w:r>
      <w:r>
        <w:t>on devices that:</w:t>
      </w:r>
    </w:p>
    <w:p w14:paraId="65FCB99E" w14:textId="77777777" w:rsidR="00B7776D" w:rsidRDefault="00B7776D" w:rsidP="00B7776D">
      <w:pPr>
        <w:pStyle w:val="BulletIndent1"/>
      </w:pPr>
      <w:r>
        <w:t>have direct contact with the water, or</w:t>
      </w:r>
    </w:p>
    <w:p w14:paraId="2B69D065" w14:textId="77777777" w:rsidR="00B7776D" w:rsidRDefault="00B7776D" w:rsidP="00B7776D">
      <w:pPr>
        <w:pStyle w:val="BulletIndent1"/>
      </w:pPr>
      <w:r>
        <w:t>take an indirect measurement of water level</w:t>
      </w:r>
    </w:p>
    <w:p w14:paraId="156C7F0C" w14:textId="77777777" w:rsidR="00B7776D" w:rsidRDefault="00B7776D" w:rsidP="00B7776D">
      <w:pPr>
        <w:pStyle w:val="Body"/>
      </w:pPr>
      <w:r>
        <w:t>It also provides information relevant to the selection and maintenance of stilling wells and recorder housings and instruments.</w:t>
      </w:r>
    </w:p>
    <w:p w14:paraId="7E52A65A" w14:textId="77777777" w:rsidR="00B7776D" w:rsidRDefault="00B7776D" w:rsidP="00B7776D">
      <w:pPr>
        <w:pStyle w:val="Heading3"/>
        <w:numPr>
          <w:ilvl w:val="0"/>
          <w:numId w:val="0"/>
        </w:numPr>
        <w:ind w:left="-578"/>
      </w:pPr>
      <w:r>
        <w:t>Direct Contact with Water</w:t>
      </w:r>
    </w:p>
    <w:p w14:paraId="43C4D756" w14:textId="77777777" w:rsidR="00B7776D" w:rsidRPr="005B1BED" w:rsidRDefault="00B7776D" w:rsidP="00B7776D">
      <w:pPr>
        <w:pStyle w:val="Body"/>
      </w:pPr>
      <w:r>
        <w:t>Devices that have direct contact with water include:</w:t>
      </w:r>
    </w:p>
    <w:p w14:paraId="7185D5D5" w14:textId="77777777" w:rsidR="00B7776D" w:rsidRDefault="00B7776D" w:rsidP="00B7776D">
      <w:pPr>
        <w:pStyle w:val="BulletIndent1"/>
      </w:pPr>
      <w:r>
        <w:t>shaft encoders</w:t>
      </w:r>
    </w:p>
    <w:p w14:paraId="3669332E" w14:textId="77777777" w:rsidR="00B7776D" w:rsidRDefault="00B7776D" w:rsidP="00B7776D">
      <w:pPr>
        <w:pStyle w:val="BulletIndent1"/>
      </w:pPr>
      <w:r>
        <w:t>pressure transducers, and</w:t>
      </w:r>
    </w:p>
    <w:p w14:paraId="7CDD4DA4" w14:textId="77777777" w:rsidR="00B7776D" w:rsidRDefault="00B7776D" w:rsidP="00B7776D">
      <w:pPr>
        <w:pStyle w:val="BulletIndent1"/>
      </w:pPr>
      <w:r>
        <w:t>gas purge sensors.</w:t>
      </w:r>
    </w:p>
    <w:p w14:paraId="50F875ED" w14:textId="77777777" w:rsidR="00B7776D" w:rsidRDefault="00B7776D" w:rsidP="00B7776D">
      <w:pPr>
        <w:pStyle w:val="Heading3"/>
        <w:numPr>
          <w:ilvl w:val="0"/>
          <w:numId w:val="0"/>
        </w:numPr>
        <w:ind w:left="-578"/>
      </w:pPr>
      <w:r>
        <w:t>Indirect Measurement of Water Level</w:t>
      </w:r>
    </w:p>
    <w:p w14:paraId="66D0EDEC" w14:textId="77777777" w:rsidR="00B7776D" w:rsidRDefault="00B7776D" w:rsidP="00B7776D">
      <w:pPr>
        <w:pStyle w:val="Body"/>
      </w:pPr>
      <w:r>
        <w:t>Devices that indirectly measure water level include:</w:t>
      </w:r>
    </w:p>
    <w:p w14:paraId="784454FE" w14:textId="77777777" w:rsidR="00B7776D" w:rsidRPr="005B1BED" w:rsidRDefault="00B7776D" w:rsidP="00B7776D">
      <w:pPr>
        <w:pStyle w:val="BulletIndent1"/>
      </w:pPr>
      <w:r>
        <w:t xml:space="preserve">acoustic instruments with </w:t>
      </w:r>
      <w:r w:rsidRPr="005B1BED">
        <w:t>sound path in air</w:t>
      </w:r>
    </w:p>
    <w:p w14:paraId="707D8171" w14:textId="77777777" w:rsidR="00B7776D" w:rsidRDefault="00B7776D" w:rsidP="00B7776D">
      <w:pPr>
        <w:pStyle w:val="BulletIndent1"/>
      </w:pPr>
      <w:r>
        <w:t>acoustic instruments with sound path in water, and</w:t>
      </w:r>
    </w:p>
    <w:p w14:paraId="19DBBEEB" w14:textId="77777777" w:rsidR="00B7776D" w:rsidRDefault="00B7776D" w:rsidP="00B7776D">
      <w:pPr>
        <w:pStyle w:val="BulletIndent1"/>
      </w:pPr>
      <w:r>
        <w:t>radar instruments.</w:t>
      </w:r>
    </w:p>
    <w:p w14:paraId="1E380262" w14:textId="77777777" w:rsidR="00B7776D" w:rsidRDefault="00B7776D" w:rsidP="00B7776D">
      <w:pPr>
        <w:pStyle w:val="Note"/>
      </w:pPr>
      <w:r>
        <w:t>Note:</w:t>
      </w:r>
      <w:r>
        <w:tab/>
        <w:t>Each of these direct and indirect methods have differing accuracies, and in choosing a sensor, the appropriateness to the site must be considered. There are other sensing devices available; some of these don’t meet the standards. Price may also be a consideration.</w:t>
      </w:r>
    </w:p>
    <w:p w14:paraId="65C0283D" w14:textId="77777777" w:rsidR="00B7776D" w:rsidRDefault="00B7776D" w:rsidP="00B7776D">
      <w:pPr>
        <w:pStyle w:val="Heading2"/>
        <w:numPr>
          <w:ilvl w:val="0"/>
          <w:numId w:val="0"/>
        </w:numPr>
        <w:ind w:left="-709"/>
      </w:pPr>
      <w:bookmarkStart w:id="33" w:name="_Toc212177817"/>
      <w:bookmarkStart w:id="34" w:name="_Toc215287025"/>
      <w:bookmarkStart w:id="35" w:name="_Toc396395246"/>
      <w:r>
        <w:lastRenderedPageBreak/>
        <w:t>Sensor Selection</w:t>
      </w:r>
      <w:bookmarkEnd w:id="33"/>
      <w:bookmarkEnd w:id="34"/>
      <w:bookmarkEnd w:id="35"/>
    </w:p>
    <w:p w14:paraId="17D4A6AC" w14:textId="77777777" w:rsidR="00B7776D" w:rsidRDefault="00B7776D" w:rsidP="00B7776D">
      <w:pPr>
        <w:pStyle w:val="Body"/>
      </w:pPr>
      <w:r>
        <w:t>Selecting a sensor can be complex, however to assist in the correct sensor being selected, consideration should be given to:</w:t>
      </w:r>
    </w:p>
    <w:p w14:paraId="540AC749" w14:textId="77777777" w:rsidR="00B7776D" w:rsidRDefault="00B7776D" w:rsidP="00B7776D">
      <w:pPr>
        <w:pStyle w:val="BulletIndent1"/>
      </w:pPr>
      <w:r>
        <w:t>whether it is fit purpose, and</w:t>
      </w:r>
    </w:p>
    <w:p w14:paraId="3C8C1B34" w14:textId="77777777" w:rsidR="00B7776D" w:rsidRPr="00EF77F1" w:rsidRDefault="00B7776D" w:rsidP="00B7776D">
      <w:pPr>
        <w:pStyle w:val="BulletIndent1"/>
      </w:pPr>
      <w:r>
        <w:t>compatibility.</w:t>
      </w:r>
    </w:p>
    <w:p w14:paraId="65FC7201" w14:textId="77777777" w:rsidR="00B7776D" w:rsidRDefault="00B7776D" w:rsidP="00B7776D">
      <w:pPr>
        <w:pStyle w:val="Heading3"/>
        <w:numPr>
          <w:ilvl w:val="0"/>
          <w:numId w:val="0"/>
        </w:numPr>
        <w:ind w:left="-578"/>
      </w:pPr>
      <w:r>
        <w:t>Fit for Purpose</w:t>
      </w:r>
    </w:p>
    <w:p w14:paraId="20AE8195" w14:textId="77777777" w:rsidR="00B7776D" w:rsidRPr="00EF77F1" w:rsidRDefault="00B7776D" w:rsidP="00B7776D">
      <w:pPr>
        <w:pStyle w:val="Body"/>
      </w:pPr>
      <w:r>
        <w:t>To be fit for purpose the sensor shall cater for the following where required:</w:t>
      </w:r>
    </w:p>
    <w:p w14:paraId="61ADF636" w14:textId="77777777" w:rsidR="00B7776D" w:rsidRDefault="00B7776D" w:rsidP="00B7776D">
      <w:pPr>
        <w:pStyle w:val="BulletIndent1"/>
      </w:pPr>
      <w:r>
        <w:t>Alignment with this standard</w:t>
      </w:r>
    </w:p>
    <w:p w14:paraId="69CB6196" w14:textId="77777777" w:rsidR="00B7776D" w:rsidRDefault="00B7776D" w:rsidP="00B7776D">
      <w:pPr>
        <w:pStyle w:val="BulletIndent1"/>
      </w:pPr>
      <w:r>
        <w:t xml:space="preserve">Client requirements </w:t>
      </w:r>
    </w:p>
    <w:p w14:paraId="3A6BADE1" w14:textId="77777777" w:rsidR="00B7776D" w:rsidRDefault="00B7776D" w:rsidP="00B7776D">
      <w:pPr>
        <w:pStyle w:val="Heading3"/>
        <w:numPr>
          <w:ilvl w:val="0"/>
          <w:numId w:val="0"/>
        </w:numPr>
        <w:ind w:left="-578"/>
      </w:pPr>
      <w:r>
        <w:t>Compatibility</w:t>
      </w:r>
    </w:p>
    <w:p w14:paraId="4FFA6A47" w14:textId="77777777" w:rsidR="00B7776D" w:rsidRPr="00EF77F1" w:rsidRDefault="00B7776D" w:rsidP="00B7776D">
      <w:pPr>
        <w:pStyle w:val="Body"/>
      </w:pPr>
      <w:r>
        <w:t>The sensor shall:</w:t>
      </w:r>
    </w:p>
    <w:p w14:paraId="54CC01F4" w14:textId="77777777" w:rsidR="00B7776D" w:rsidRDefault="00B7776D" w:rsidP="00B7776D">
      <w:pPr>
        <w:pStyle w:val="BulletIndent1"/>
      </w:pPr>
      <w:r>
        <w:t>be easily interfaced with existing hardware, and</w:t>
      </w:r>
    </w:p>
    <w:p w14:paraId="3173D784" w14:textId="77777777" w:rsidR="00B7776D" w:rsidRDefault="00B7776D" w:rsidP="00B7776D">
      <w:pPr>
        <w:pStyle w:val="BulletIndent1"/>
      </w:pPr>
      <w:r>
        <w:t>have common industrial output protocols.</w:t>
      </w:r>
    </w:p>
    <w:p w14:paraId="441FAFAE" w14:textId="77777777" w:rsidR="00B7776D" w:rsidRDefault="00B7776D" w:rsidP="00B7776D">
      <w:pPr>
        <w:pStyle w:val="Heading3"/>
        <w:numPr>
          <w:ilvl w:val="0"/>
          <w:numId w:val="0"/>
        </w:numPr>
        <w:ind w:left="-578"/>
      </w:pPr>
      <w:r>
        <w:t>Site Characteristics</w:t>
      </w:r>
    </w:p>
    <w:p w14:paraId="0EA3800E" w14:textId="77777777" w:rsidR="00B7776D" w:rsidRDefault="00B7776D" w:rsidP="00B7776D">
      <w:pPr>
        <w:pStyle w:val="Body"/>
      </w:pPr>
      <w:r>
        <w:t>Every water level site is unique.</w:t>
      </w:r>
    </w:p>
    <w:p w14:paraId="31744465" w14:textId="77777777" w:rsidR="00B7776D" w:rsidRDefault="00B7776D" w:rsidP="00B7776D">
      <w:pPr>
        <w:pStyle w:val="Body"/>
      </w:pPr>
      <w:r>
        <w:t xml:space="preserve">The maximum and minimum measuring range at the site shall be determined. </w:t>
      </w:r>
      <w:r w:rsidRPr="004F2C98">
        <w:t>This will ensure the sensor covers the full range</w:t>
      </w:r>
      <w:r>
        <w:t xml:space="preserve"> and</w:t>
      </w:r>
      <w:r w:rsidRPr="004F2C98">
        <w:t xml:space="preserve"> hence no loss of data</w:t>
      </w:r>
      <w:r>
        <w:t xml:space="preserve"> results</w:t>
      </w:r>
      <w:r w:rsidRPr="004F2C98">
        <w:t>.</w:t>
      </w:r>
    </w:p>
    <w:p w14:paraId="5470B014" w14:textId="77777777" w:rsidR="00B7776D" w:rsidRDefault="00B7776D" w:rsidP="00B7776D">
      <w:pPr>
        <w:pStyle w:val="Body"/>
      </w:pPr>
      <w:r>
        <w:t>When selecting the appropriate sensor, the site characteristics shall be considered in conjunction with the following factors:</w:t>
      </w:r>
    </w:p>
    <w:p w14:paraId="021FE3DC" w14:textId="77777777" w:rsidR="00B7776D" w:rsidRDefault="00B7776D" w:rsidP="00B7776D">
      <w:pPr>
        <w:pStyle w:val="BulletIndent1"/>
      </w:pPr>
      <w:r>
        <w:t>Seasonal conditions</w:t>
      </w:r>
    </w:p>
    <w:p w14:paraId="1C751450" w14:textId="77777777" w:rsidR="00B7776D" w:rsidRDefault="00B7776D" w:rsidP="00B7776D">
      <w:pPr>
        <w:pStyle w:val="BulletIndent1"/>
      </w:pPr>
      <w:r>
        <w:t>Environmental conditions</w:t>
      </w:r>
    </w:p>
    <w:p w14:paraId="52990D0B" w14:textId="77777777" w:rsidR="00B7776D" w:rsidRDefault="00B7776D" w:rsidP="00B7776D">
      <w:pPr>
        <w:pStyle w:val="BulletIndent1"/>
      </w:pPr>
      <w:r>
        <w:t>Power budget assessment</w:t>
      </w:r>
    </w:p>
    <w:p w14:paraId="54963084" w14:textId="77777777" w:rsidR="00B7776D" w:rsidRDefault="00B7776D" w:rsidP="00B7776D">
      <w:pPr>
        <w:pStyle w:val="Heading4"/>
        <w:numPr>
          <w:ilvl w:val="0"/>
          <w:numId w:val="0"/>
        </w:numPr>
        <w:ind w:left="-578"/>
      </w:pPr>
      <w:r>
        <w:t xml:space="preserve">Seasonal Conditions </w:t>
      </w:r>
    </w:p>
    <w:p w14:paraId="20D029C5" w14:textId="77777777" w:rsidR="00B7776D" w:rsidRDefault="00B7776D" w:rsidP="00B7776D">
      <w:pPr>
        <w:pStyle w:val="Body"/>
      </w:pPr>
      <w:r>
        <w:t>Seasonal conditions can influence or damage the sensor, for example:</w:t>
      </w:r>
    </w:p>
    <w:p w14:paraId="6CDF4108" w14:textId="77777777" w:rsidR="00B7776D" w:rsidRDefault="00B7776D" w:rsidP="00B7776D">
      <w:pPr>
        <w:pStyle w:val="BulletIndent1"/>
      </w:pPr>
      <w:r>
        <w:t>heat</w:t>
      </w:r>
    </w:p>
    <w:p w14:paraId="4BCEC146" w14:textId="77777777" w:rsidR="00B7776D" w:rsidRDefault="00B7776D" w:rsidP="00B7776D">
      <w:pPr>
        <w:pStyle w:val="BulletIndent1"/>
      </w:pPr>
      <w:r>
        <w:t>weed and algal blooms</w:t>
      </w:r>
    </w:p>
    <w:p w14:paraId="55D96D86" w14:textId="77777777" w:rsidR="00B7776D" w:rsidRDefault="00B7776D" w:rsidP="00B7776D">
      <w:pPr>
        <w:pStyle w:val="BulletIndent1"/>
      </w:pPr>
      <w:r>
        <w:t>frost and ice</w:t>
      </w:r>
    </w:p>
    <w:p w14:paraId="114B9861" w14:textId="77777777" w:rsidR="00B7776D" w:rsidRDefault="00B7776D" w:rsidP="00B7776D">
      <w:pPr>
        <w:pStyle w:val="BulletIndent1"/>
      </w:pPr>
      <w:r>
        <w:t>recreational activity</w:t>
      </w:r>
    </w:p>
    <w:p w14:paraId="1C218DE4" w14:textId="77777777" w:rsidR="00B7776D" w:rsidRDefault="00B7776D" w:rsidP="00B7776D">
      <w:pPr>
        <w:pStyle w:val="BulletIndent1"/>
      </w:pPr>
      <w:r>
        <w:t>sediment flushes</w:t>
      </w:r>
    </w:p>
    <w:p w14:paraId="4E4D36B3" w14:textId="77777777" w:rsidR="00B7776D" w:rsidRDefault="00B7776D" w:rsidP="00B7776D">
      <w:pPr>
        <w:pStyle w:val="BulletIndent1"/>
      </w:pPr>
      <w:r>
        <w:t>floods, and</w:t>
      </w:r>
    </w:p>
    <w:p w14:paraId="033846D3" w14:textId="77777777" w:rsidR="00B7776D" w:rsidRDefault="00B7776D" w:rsidP="00B7776D">
      <w:pPr>
        <w:pStyle w:val="BulletIndent1"/>
      </w:pPr>
      <w:r>
        <w:t>flood debris build up.</w:t>
      </w:r>
    </w:p>
    <w:p w14:paraId="2101BF4E" w14:textId="77777777" w:rsidR="00B7776D" w:rsidRDefault="00B7776D" w:rsidP="00B7776D">
      <w:pPr>
        <w:rPr>
          <w:rFonts w:ascii="Century Gothic" w:eastAsiaTheme="majorEastAsia" w:hAnsi="Century Gothic" w:cstheme="majorBidi"/>
          <w:bCs/>
          <w:iCs/>
          <w:color w:val="1F3864" w:themeColor="accent5" w:themeShade="80"/>
          <w:sz w:val="22"/>
        </w:rPr>
      </w:pPr>
      <w:r>
        <w:br w:type="page"/>
      </w:r>
    </w:p>
    <w:p w14:paraId="5B14E515" w14:textId="77777777" w:rsidR="00B7776D" w:rsidRDefault="00B7776D" w:rsidP="00B7776D">
      <w:pPr>
        <w:pStyle w:val="Heading4"/>
        <w:numPr>
          <w:ilvl w:val="0"/>
          <w:numId w:val="0"/>
        </w:numPr>
        <w:ind w:left="-578"/>
      </w:pPr>
      <w:r>
        <w:lastRenderedPageBreak/>
        <w:t xml:space="preserve">Environmental Conditions </w:t>
      </w:r>
    </w:p>
    <w:p w14:paraId="4BA54DFD" w14:textId="77777777" w:rsidR="00B7776D" w:rsidRDefault="00B7776D" w:rsidP="00B7776D">
      <w:pPr>
        <w:pStyle w:val="Body"/>
      </w:pPr>
      <w:r>
        <w:t>Environmental conditions can influence the performance of the sensor, for example:</w:t>
      </w:r>
    </w:p>
    <w:p w14:paraId="1FADCA50" w14:textId="77777777" w:rsidR="00B7776D" w:rsidRDefault="00B7776D" w:rsidP="00B7776D">
      <w:pPr>
        <w:pStyle w:val="BulletIndent1"/>
      </w:pPr>
      <w:r>
        <w:t>wind</w:t>
      </w:r>
    </w:p>
    <w:p w14:paraId="69372C03" w14:textId="77777777" w:rsidR="00B7776D" w:rsidRDefault="00B7776D" w:rsidP="00B7776D">
      <w:pPr>
        <w:pStyle w:val="BulletIndent1"/>
      </w:pPr>
      <w:r>
        <w:t>waves</w:t>
      </w:r>
    </w:p>
    <w:p w14:paraId="04A05DD6" w14:textId="77777777" w:rsidR="00B7776D" w:rsidRDefault="00B7776D" w:rsidP="00B7776D">
      <w:pPr>
        <w:pStyle w:val="BulletIndent1"/>
      </w:pPr>
      <w:r>
        <w:t>bank stability</w:t>
      </w:r>
    </w:p>
    <w:p w14:paraId="173CA00E" w14:textId="77777777" w:rsidR="00B7776D" w:rsidRDefault="00B7776D" w:rsidP="00B7776D">
      <w:pPr>
        <w:pStyle w:val="BulletIndent1"/>
      </w:pPr>
      <w:r>
        <w:t>movement of bed materials</w:t>
      </w:r>
    </w:p>
    <w:p w14:paraId="0BD4ED3D" w14:textId="77777777" w:rsidR="00B7776D" w:rsidRDefault="00B7776D" w:rsidP="00B7776D">
      <w:pPr>
        <w:pStyle w:val="BulletIndent1"/>
      </w:pPr>
      <w:r>
        <w:t>river works</w:t>
      </w:r>
    </w:p>
    <w:p w14:paraId="029E00D3" w14:textId="77777777" w:rsidR="00B7776D" w:rsidRDefault="00B7776D" w:rsidP="00B7776D">
      <w:pPr>
        <w:pStyle w:val="BulletIndent1"/>
      </w:pPr>
      <w:r>
        <w:t>water turbulence, and</w:t>
      </w:r>
    </w:p>
    <w:p w14:paraId="029252F5" w14:textId="77777777" w:rsidR="00B7776D" w:rsidRDefault="00B7776D" w:rsidP="00B7776D">
      <w:pPr>
        <w:pStyle w:val="BulletIndent1"/>
      </w:pPr>
      <w:r>
        <w:t>migrating channels.</w:t>
      </w:r>
    </w:p>
    <w:p w14:paraId="42852C3D" w14:textId="77777777" w:rsidR="00B7776D" w:rsidRDefault="00B7776D" w:rsidP="00B7776D">
      <w:pPr>
        <w:pStyle w:val="Heading4"/>
        <w:numPr>
          <w:ilvl w:val="0"/>
          <w:numId w:val="0"/>
        </w:numPr>
        <w:ind w:left="-578"/>
      </w:pPr>
      <w:r>
        <w:t xml:space="preserve">Power Budget </w:t>
      </w:r>
    </w:p>
    <w:p w14:paraId="09FF0995" w14:textId="77777777" w:rsidR="00B7776D" w:rsidRDefault="00B7776D" w:rsidP="00B7776D">
      <w:pPr>
        <w:pStyle w:val="Body"/>
      </w:pPr>
      <w:r>
        <w:t>When used with a particular logger and telemetry system the power budget and maximum demand shall be considered to cover mains power outages.</w:t>
      </w:r>
    </w:p>
    <w:p w14:paraId="181F5AC5" w14:textId="77777777" w:rsidR="00B7776D" w:rsidRDefault="00B7776D" w:rsidP="00B7776D">
      <w:pPr>
        <w:pStyle w:val="Body"/>
      </w:pPr>
      <w:r>
        <w:t>Items to consider include:</w:t>
      </w:r>
    </w:p>
    <w:p w14:paraId="05E9EF8B" w14:textId="77777777" w:rsidR="00B7776D" w:rsidRDefault="00B7776D" w:rsidP="00B7776D">
      <w:pPr>
        <w:pStyle w:val="BulletIndent1"/>
      </w:pPr>
      <w:r>
        <w:t xml:space="preserve">low solar charge </w:t>
      </w:r>
    </w:p>
    <w:p w14:paraId="7A974EE8" w14:textId="77777777" w:rsidR="00B7776D" w:rsidRDefault="00B7776D" w:rsidP="00B7776D">
      <w:pPr>
        <w:pStyle w:val="BulletIndent1Note"/>
      </w:pPr>
      <w:r>
        <w:t>Winter periods</w:t>
      </w:r>
    </w:p>
    <w:p w14:paraId="19BB08F4" w14:textId="77777777" w:rsidR="00B7776D" w:rsidRDefault="00B7776D" w:rsidP="00B7776D">
      <w:pPr>
        <w:pStyle w:val="BulletIndent1"/>
      </w:pPr>
      <w:r>
        <w:t>temperature conditions at the site, and</w:t>
      </w:r>
    </w:p>
    <w:p w14:paraId="3753370F" w14:textId="77777777" w:rsidR="00B7776D" w:rsidRDefault="00B7776D" w:rsidP="00B7776D">
      <w:pPr>
        <w:pStyle w:val="BulletIndent1Note"/>
      </w:pPr>
      <w:r>
        <w:t>Below freezing over periods</w:t>
      </w:r>
    </w:p>
    <w:p w14:paraId="0E73F9B1" w14:textId="77777777" w:rsidR="00B7776D" w:rsidRDefault="00B7776D" w:rsidP="00B7776D">
      <w:pPr>
        <w:pStyle w:val="BulletIndent1"/>
      </w:pPr>
      <w:r>
        <w:t>battery capacity.</w:t>
      </w:r>
    </w:p>
    <w:p w14:paraId="123EBA78" w14:textId="77777777" w:rsidR="00B7776D" w:rsidRDefault="00B7776D" w:rsidP="00B7776D">
      <w:pPr>
        <w:pStyle w:val="BulletIndent1Note"/>
      </w:pPr>
      <w:r>
        <w:t>Will this sustain the power requirements through the worst conditions?</w:t>
      </w:r>
    </w:p>
    <w:p w14:paraId="0B8445CB" w14:textId="77777777" w:rsidR="00B7776D" w:rsidRDefault="00B7776D" w:rsidP="00B7776D">
      <w:pPr>
        <w:pStyle w:val="Note"/>
      </w:pPr>
      <w:r>
        <w:t>Note:</w:t>
      </w:r>
      <w:r>
        <w:tab/>
        <w:t>Backup systems and equipment isolation (separate backup data-logger batteries) also need considered.</w:t>
      </w:r>
    </w:p>
    <w:p w14:paraId="6C763910" w14:textId="77777777" w:rsidR="00B7776D" w:rsidRDefault="00B7776D" w:rsidP="00B7776D">
      <w:pPr>
        <w:pStyle w:val="Heading2"/>
        <w:numPr>
          <w:ilvl w:val="0"/>
          <w:numId w:val="0"/>
        </w:numPr>
        <w:ind w:left="-709"/>
      </w:pPr>
      <w:bookmarkStart w:id="36" w:name="_Toc212177818"/>
      <w:bookmarkStart w:id="37" w:name="_Toc215287026"/>
      <w:bookmarkStart w:id="38" w:name="_Toc396395247"/>
      <w:r>
        <w:lastRenderedPageBreak/>
        <w:t>Shaft Encoders</w:t>
      </w:r>
      <w:bookmarkEnd w:id="36"/>
      <w:bookmarkEnd w:id="37"/>
      <w:bookmarkEnd w:id="38"/>
      <w:r>
        <w:t xml:space="preserve"> </w:t>
      </w:r>
    </w:p>
    <w:p w14:paraId="0E77FD1F" w14:textId="77777777" w:rsidR="00B7776D" w:rsidRDefault="00B7776D" w:rsidP="00B7776D">
      <w:pPr>
        <w:pStyle w:val="Body"/>
      </w:pPr>
      <w:r>
        <w:t>A shaft encoder:</w:t>
      </w:r>
    </w:p>
    <w:p w14:paraId="2C364DBA" w14:textId="77777777" w:rsidR="00B7776D" w:rsidRDefault="00B7776D" w:rsidP="00B7776D">
      <w:pPr>
        <w:pStyle w:val="BulletIndent1"/>
      </w:pPr>
      <w:r>
        <w:t>is an electro-mechanical float and counterweight gauge</w:t>
      </w:r>
    </w:p>
    <w:p w14:paraId="3A50ACA4" w14:textId="77777777" w:rsidR="00B7776D" w:rsidRDefault="00B7776D" w:rsidP="00B7776D">
      <w:pPr>
        <w:pStyle w:val="BulletIndent1"/>
      </w:pPr>
      <w:r w:rsidRPr="00386554">
        <w:t>consist</w:t>
      </w:r>
      <w:r>
        <w:t>s</w:t>
      </w:r>
      <w:r w:rsidRPr="00386554">
        <w:t xml:space="preserve"> of a pulley rotated by </w:t>
      </w:r>
      <w:r>
        <w:t>the float and counter-weight system</w:t>
      </w:r>
    </w:p>
    <w:p w14:paraId="43FBE1C6" w14:textId="77777777" w:rsidR="00B7776D" w:rsidRDefault="00B7776D" w:rsidP="00B7776D">
      <w:pPr>
        <w:pStyle w:val="BulletIndent1"/>
      </w:pPr>
      <w:r>
        <w:t>converts pulley rotation to millimetres of rise and fall, and</w:t>
      </w:r>
    </w:p>
    <w:p w14:paraId="31114CBC" w14:textId="77777777" w:rsidR="00B7776D" w:rsidRDefault="00B7776D" w:rsidP="00B7776D">
      <w:pPr>
        <w:pStyle w:val="BulletIndent1"/>
      </w:pPr>
      <w:r>
        <w:t>Records the stage, or relative rise or fall from a start point</w:t>
      </w:r>
    </w:p>
    <w:p w14:paraId="7FB9A009" w14:textId="77777777" w:rsidR="00B7776D" w:rsidRDefault="00B7776D" w:rsidP="00B7776D">
      <w:pPr>
        <w:pStyle w:val="Body"/>
      </w:pPr>
      <w:r>
        <w:t>Shaft e</w:t>
      </w:r>
      <w:r w:rsidRPr="00386554">
        <w:t xml:space="preserve">ncoders are precise measuring devices that usually have a resolution of </w:t>
      </w:r>
      <w:r w:rsidRPr="00CA6400">
        <w:t>±</w:t>
      </w:r>
      <w:r w:rsidRPr="00386554">
        <w:t xml:space="preserve">1 mm, but with some models this can be </w:t>
      </w:r>
      <w:r w:rsidRPr="00CA6400">
        <w:t>±</w:t>
      </w:r>
      <w:r w:rsidRPr="00386554">
        <w:t>0.1 mm.</w:t>
      </w:r>
    </w:p>
    <w:p w14:paraId="0F3D6E03" w14:textId="77777777" w:rsidR="00B7776D" w:rsidRDefault="00B7776D" w:rsidP="00B7776D">
      <w:pPr>
        <w:pStyle w:val="Body"/>
        <w:jc w:val="center"/>
      </w:pPr>
      <w:r>
        <w:t xml:space="preserve">       </w:t>
      </w:r>
      <w:r>
        <w:rPr>
          <w:noProof/>
          <w:lang w:val="en-NZ" w:eastAsia="en-NZ"/>
        </w:rPr>
        <w:drawing>
          <wp:inline distT="0" distB="0" distL="0" distR="0" wp14:anchorId="423B1734" wp14:editId="6FF60D37">
            <wp:extent cx="1746250" cy="1873250"/>
            <wp:effectExtent l="0" t="0" r="635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46250" cy="1873250"/>
                    </a:xfrm>
                    <a:prstGeom prst="rect">
                      <a:avLst/>
                    </a:prstGeom>
                    <a:noFill/>
                    <a:ln>
                      <a:noFill/>
                    </a:ln>
                  </pic:spPr>
                </pic:pic>
              </a:graphicData>
            </a:graphic>
          </wp:inline>
        </w:drawing>
      </w:r>
      <w:r w:rsidRPr="00A947D9">
        <w:t>Key</w:t>
      </w:r>
      <w:r>
        <w:t xml:space="preserve">: </w:t>
      </w:r>
      <w:r>
        <w:tab/>
      </w:r>
      <w:r w:rsidRPr="00A947D9">
        <w:t>1 driven pulley</w:t>
      </w:r>
    </w:p>
    <w:p w14:paraId="42B21C91" w14:textId="77777777" w:rsidR="00B7776D" w:rsidRDefault="00B7776D" w:rsidP="00B7776D">
      <w:pPr>
        <w:pStyle w:val="Body"/>
        <w:ind w:left="2160" w:firstLine="720"/>
        <w:jc w:val="center"/>
      </w:pPr>
      <w:r w:rsidRPr="00A947D9">
        <w:t>2 float</w:t>
      </w:r>
    </w:p>
    <w:p w14:paraId="45FEB859" w14:textId="77777777" w:rsidR="00B7776D" w:rsidRDefault="00B7776D" w:rsidP="00B7776D">
      <w:pPr>
        <w:pStyle w:val="Caption"/>
      </w:pPr>
      <w:r>
        <w:t xml:space="preserve">Figure </w:t>
      </w:r>
      <w:r>
        <w:fldChar w:fldCharType="begin"/>
      </w:r>
      <w:r>
        <w:instrText xml:space="preserve"> SEQ Figure \* ARABIC </w:instrText>
      </w:r>
      <w:r>
        <w:fldChar w:fldCharType="separate"/>
      </w:r>
      <w:r>
        <w:rPr>
          <w:noProof/>
        </w:rPr>
        <w:t>6</w:t>
      </w:r>
      <w:r>
        <w:fldChar w:fldCharType="end"/>
      </w:r>
      <w:r>
        <w:t xml:space="preserve"> –</w:t>
      </w:r>
      <w:r>
        <w:rPr>
          <w:caps/>
        </w:rPr>
        <w:t xml:space="preserve"> </w:t>
      </w:r>
      <w:r>
        <w:t>Float and counterweight configuration</w:t>
      </w:r>
    </w:p>
    <w:p w14:paraId="57F307B8" w14:textId="77777777" w:rsidR="00B7776D" w:rsidRPr="00B04A7D" w:rsidRDefault="00B7776D" w:rsidP="00B7776D">
      <w:pPr>
        <w:pStyle w:val="CaptionAcknowledgement"/>
      </w:pPr>
      <w:r>
        <w:t>Source: ISO 4375 (2008) Hydrometry – Water Level Measuring Devices</w:t>
      </w:r>
    </w:p>
    <w:p w14:paraId="217C126F" w14:textId="77777777" w:rsidR="00B7776D" w:rsidRPr="000F0222" w:rsidRDefault="00B7776D" w:rsidP="00B7776D">
      <w:pPr>
        <w:pStyle w:val="CaptionAcknowledgement"/>
      </w:pPr>
    </w:p>
    <w:p w14:paraId="2FDBF814" w14:textId="77777777" w:rsidR="00B7776D" w:rsidRDefault="00B7776D" w:rsidP="00B7776D">
      <w:pPr>
        <w:pStyle w:val="Body"/>
      </w:pPr>
      <w:r>
        <w:t>Used on its own, a float gauge can provide a direct readout of stage height without requiring an external energy source, however most encoders are now electronic, link to a separate data-logger, and require constant power to operate. It provides almost uniform resolution throughout the range and good accuracy at low stage.</w:t>
      </w:r>
    </w:p>
    <w:p w14:paraId="24C8E33F" w14:textId="77777777" w:rsidR="00B7776D" w:rsidRDefault="00B7776D" w:rsidP="00B7776D">
      <w:pPr>
        <w:pStyle w:val="Note"/>
      </w:pPr>
      <w:r>
        <w:t>Note: A float gauge is a mechanical device and is therefore subject to errors from change in temperature, hysteresis and friction. It requires a stilling well, which can be expensive to construct and maintain.</w:t>
      </w:r>
    </w:p>
    <w:p w14:paraId="49C2A268" w14:textId="77777777" w:rsidR="00B7776D" w:rsidRPr="00386554" w:rsidRDefault="00B7776D" w:rsidP="00B7776D">
      <w:pPr>
        <w:pStyle w:val="Heading2"/>
        <w:numPr>
          <w:ilvl w:val="0"/>
          <w:numId w:val="0"/>
        </w:numPr>
        <w:ind w:left="-709"/>
        <w:rPr>
          <w:rFonts w:ascii="Cambria" w:hAnsi="Cambria"/>
        </w:rPr>
      </w:pPr>
      <w:bookmarkStart w:id="39" w:name="_Toc212177819"/>
      <w:bookmarkStart w:id="40" w:name="_Toc215287027"/>
      <w:bookmarkStart w:id="41" w:name="_Toc396395248"/>
      <w:r>
        <w:lastRenderedPageBreak/>
        <w:t>Submersible Pressure T</w:t>
      </w:r>
      <w:r w:rsidRPr="00E01D2D">
        <w:t>ransducers</w:t>
      </w:r>
      <w:bookmarkEnd w:id="39"/>
      <w:bookmarkEnd w:id="40"/>
      <w:bookmarkEnd w:id="41"/>
    </w:p>
    <w:p w14:paraId="4ADD444D" w14:textId="77777777" w:rsidR="00B7776D" w:rsidRDefault="00B7776D" w:rsidP="00B7776D">
      <w:pPr>
        <w:pStyle w:val="Heading4"/>
        <w:numPr>
          <w:ilvl w:val="0"/>
          <w:numId w:val="0"/>
        </w:numPr>
        <w:ind w:left="-578"/>
      </w:pPr>
      <w:r w:rsidRPr="00872169">
        <w:t>Theory</w:t>
      </w:r>
    </w:p>
    <w:p w14:paraId="2592139E" w14:textId="77777777" w:rsidR="00B7776D" w:rsidRPr="00AF163C" w:rsidRDefault="00B7776D" w:rsidP="00B7776D">
      <w:pPr>
        <w:pStyle w:val="Body"/>
      </w:pPr>
      <w:r w:rsidRPr="00AF163C">
        <w:t xml:space="preserve">Pressure transducers convert the pressure acting on a </w:t>
      </w:r>
      <w:r>
        <w:t>sensing element</w:t>
      </w:r>
      <w:r w:rsidRPr="00AF163C">
        <w:t xml:space="preserve"> into an electrical signal. The signal varies in proportion to the pressure.</w:t>
      </w:r>
    </w:p>
    <w:p w14:paraId="70075F79" w14:textId="77777777" w:rsidR="00B7776D" w:rsidRDefault="00B7776D" w:rsidP="00B7776D">
      <w:pPr>
        <w:pStyle w:val="Body"/>
      </w:pPr>
      <w:r>
        <w:t>The pressure transducer will measure the pressure head of the system but in most cases will report to an equivalent head of water. It is important to understand this relationship and the effects that it will have on given measuring situations.  The relationship is:</w:t>
      </w:r>
    </w:p>
    <w:p w14:paraId="65E6A54F" w14:textId="77777777" w:rsidR="00B7776D" w:rsidRDefault="00B7776D" w:rsidP="00B7776D">
      <w:pPr>
        <w:pStyle w:val="Code"/>
      </w:pPr>
      <w:r>
        <w:t>h =  P/(ρ.g )</w:t>
      </w:r>
    </w:p>
    <w:p w14:paraId="5C60A762" w14:textId="77777777" w:rsidR="00B7776D" w:rsidRDefault="00B7776D" w:rsidP="00B7776D">
      <w:pPr>
        <w:pStyle w:val="Code"/>
      </w:pPr>
      <w:r w:rsidRPr="00E5190A">
        <w:t>where P</w:t>
      </w:r>
      <w:r>
        <w:t xml:space="preserve"> </w:t>
      </w:r>
      <w:r w:rsidRPr="00E5190A">
        <w:t>=</w:t>
      </w:r>
      <w:r>
        <w:t xml:space="preserve"> </w:t>
      </w:r>
      <w:r w:rsidRPr="00E5190A">
        <w:t>pressure,</w:t>
      </w:r>
      <w:r>
        <w:t xml:space="preserve"> g = gravitation constant </w:t>
      </w:r>
      <w:r w:rsidRPr="00E5190A">
        <w:t>and ρ</w:t>
      </w:r>
      <w:r>
        <w:t xml:space="preserve"> </w:t>
      </w:r>
      <w:r w:rsidRPr="00E5190A">
        <w:t>=</w:t>
      </w:r>
      <w:r>
        <w:t xml:space="preserve"> </w:t>
      </w:r>
      <w:r w:rsidRPr="00E5190A">
        <w:t>density</w:t>
      </w:r>
    </w:p>
    <w:p w14:paraId="030232B9" w14:textId="77777777" w:rsidR="00B7776D" w:rsidRDefault="00B7776D" w:rsidP="00B7776D">
      <w:pPr>
        <w:pStyle w:val="Body"/>
      </w:pPr>
      <w:r>
        <w:t>The international standards used in deriving the equivalent head of water are:</w:t>
      </w:r>
    </w:p>
    <w:p w14:paraId="066087B3" w14:textId="77777777" w:rsidR="00B7776D" w:rsidRPr="00E5190A" w:rsidRDefault="00B7776D" w:rsidP="00B7776D">
      <w:pPr>
        <w:pStyle w:val="Code"/>
      </w:pPr>
      <w:r w:rsidRPr="00E5190A">
        <w:t>g = 9.80665 m/sec2</w:t>
      </w:r>
    </w:p>
    <w:p w14:paraId="4042A31D" w14:textId="77777777" w:rsidR="00B7776D" w:rsidRPr="00E5190A" w:rsidRDefault="00B7776D" w:rsidP="00B7776D">
      <w:pPr>
        <w:pStyle w:val="Code"/>
      </w:pPr>
      <w:r w:rsidRPr="00E5190A">
        <w:t>ρ</w:t>
      </w:r>
      <w:r>
        <w:t xml:space="preserve"> </w:t>
      </w:r>
      <w:r w:rsidRPr="00E5190A">
        <w:t>=</w:t>
      </w:r>
      <w:r>
        <w:t xml:space="preserve"> </w:t>
      </w:r>
      <w:r w:rsidRPr="00E5190A">
        <w:t>1000 kg/m</w:t>
      </w:r>
      <w:r>
        <w:t>3</w:t>
      </w:r>
      <w:r w:rsidRPr="00E5190A">
        <w:t xml:space="preserve"> derived at 4</w:t>
      </w:r>
      <w:r w:rsidRPr="00F6713D">
        <w:rPr>
          <w:vertAlign w:val="superscript"/>
        </w:rPr>
        <w:t>o</w:t>
      </w:r>
      <w:r w:rsidRPr="00E5190A">
        <w:t>C</w:t>
      </w:r>
    </w:p>
    <w:p w14:paraId="57786C23" w14:textId="77777777" w:rsidR="00B7776D" w:rsidRPr="00872169" w:rsidRDefault="00B7776D" w:rsidP="00B7776D">
      <w:pPr>
        <w:pStyle w:val="Body"/>
      </w:pPr>
      <w:r>
        <w:t xml:space="preserve">When comparing the pressure transducer against a body of water this relationship needs to be considered. In most situations the error involved is small and proportional to the head of water over the sensor.  </w:t>
      </w:r>
    </w:p>
    <w:p w14:paraId="41D958C0" w14:textId="77777777" w:rsidR="00B7776D" w:rsidRDefault="00B7776D" w:rsidP="00B7776D">
      <w:pPr>
        <w:pStyle w:val="Note"/>
      </w:pPr>
      <w:r>
        <w:t xml:space="preserve">Note: </w:t>
      </w:r>
      <w:r w:rsidRPr="00DA5691">
        <w:t xml:space="preserve">For groundwater systems and deep lakes the ability to effectively validate a system is dependent on these factors and especially the temperature of the water as this will determine the density. </w:t>
      </w:r>
    </w:p>
    <w:p w14:paraId="4A2E9604" w14:textId="77777777" w:rsidR="00B7776D" w:rsidRPr="00DA5691" w:rsidRDefault="00B7776D" w:rsidP="00B7776D">
      <w:pPr>
        <w:pStyle w:val="Note"/>
        <w:ind w:firstLine="0"/>
      </w:pPr>
      <w:r w:rsidRPr="00DA5691">
        <w:t xml:space="preserve">For artesian groundwater systems the temperature effect can be further influenced with exposure of inspection tubes to radiant heating. </w:t>
      </w:r>
      <w:r>
        <w:t>Purging the tube prior to inspection or direct comparison to another pressure reference is required in these systems.</w:t>
      </w:r>
    </w:p>
    <w:p w14:paraId="783DF03D" w14:textId="77777777" w:rsidR="00B7776D" w:rsidRDefault="00B7776D" w:rsidP="00B7776D">
      <w:pPr>
        <w:pStyle w:val="Body"/>
      </w:pPr>
      <w:r>
        <w:t>When verifying the performance of the pressure transducer a direct pressure comparison is preferable as this will check the sensor independent of gravity and density variations that are found with water measurements. The system can be validated against external references to monitor the overall site performance.</w:t>
      </w:r>
    </w:p>
    <w:p w14:paraId="7B365DBA" w14:textId="77777777" w:rsidR="00B7776D" w:rsidRDefault="00B7776D" w:rsidP="00B7776D">
      <w:pPr>
        <w:pStyle w:val="Body"/>
      </w:pPr>
      <w:r w:rsidRPr="001C69C4">
        <w:t xml:space="preserve">There </w:t>
      </w:r>
      <w:r>
        <w:t>are two main categories of pressure transducer used in the measurement of water level, submersible and gas purge</w:t>
      </w:r>
    </w:p>
    <w:p w14:paraId="6FB6954A" w14:textId="77777777" w:rsidR="00B7776D" w:rsidRPr="00947A7E" w:rsidRDefault="00B7776D" w:rsidP="00B7776D">
      <w:pPr>
        <w:pStyle w:val="Heading4"/>
        <w:numPr>
          <w:ilvl w:val="0"/>
          <w:numId w:val="0"/>
        </w:numPr>
        <w:ind w:left="-578"/>
      </w:pPr>
      <w:r w:rsidRPr="00947A7E">
        <w:t>Submersible Sensors</w:t>
      </w:r>
    </w:p>
    <w:p w14:paraId="4A8A274D" w14:textId="77777777" w:rsidR="00B7776D" w:rsidRDefault="00B7776D" w:rsidP="00B7776D">
      <w:pPr>
        <w:pStyle w:val="Body"/>
      </w:pPr>
      <w:r>
        <w:t>Submersible pressure transducers are mounted directly in the water and can have vented, (open to atmosphere), or non-vented cable to provide a gauge reading. They can be used in a range of applications from surface water and lakes to deep groundwater and can be used with well head adaptors to measure artesian groundwater systems.</w:t>
      </w:r>
    </w:p>
    <w:p w14:paraId="311292B6" w14:textId="77777777" w:rsidR="00B7776D" w:rsidRPr="00386554" w:rsidRDefault="00B7776D" w:rsidP="00B7776D">
      <w:pPr>
        <w:pStyle w:val="Note"/>
      </w:pPr>
      <w:r>
        <w:t>Note: Vent tubes must be kept clear or measurements will be affected by barometric changes. Non vented transducers are available and have their advantages; however measurements from these require compensation for barometric pressure. Even if barometric pressure is measured in conjunction with water level, compensation rarely produces results that meet the accuracy required of this standard</w:t>
      </w:r>
      <w:r w:rsidRPr="00386554">
        <w:t>.</w:t>
      </w:r>
    </w:p>
    <w:p w14:paraId="30930C83" w14:textId="77777777" w:rsidR="00B7776D" w:rsidRDefault="00B7776D" w:rsidP="00B7776D">
      <w:pPr>
        <w:pStyle w:val="Body"/>
      </w:pPr>
    </w:p>
    <w:p w14:paraId="1453C081" w14:textId="77777777" w:rsidR="00B7776D" w:rsidRPr="00F643D7" w:rsidRDefault="00B7776D" w:rsidP="00B7776D">
      <w:pPr>
        <w:pStyle w:val="Body"/>
      </w:pPr>
      <w:r>
        <w:t>Submersible pressure transducers require a relatively simple installation, hence lower costs, due to no stilling well being required.</w:t>
      </w:r>
    </w:p>
    <w:p w14:paraId="6C0CD034" w14:textId="77777777" w:rsidR="00B7776D" w:rsidRPr="00386554" w:rsidRDefault="00B7776D" w:rsidP="00B7776D">
      <w:pPr>
        <w:pStyle w:val="Note"/>
      </w:pPr>
      <w:r>
        <w:lastRenderedPageBreak/>
        <w:t>Note: It is not normally possible to set the sensor at the recording zero, so an offset is usually needed. It must be recorded in the logbook at the time of installation and applied to the record either in the logger or when processed. In any case transducers must be checked frequently for drift; an offset or change in offset may subsequently be required.</w:t>
      </w:r>
    </w:p>
    <w:p w14:paraId="429C55B3" w14:textId="77777777" w:rsidR="00B7776D" w:rsidRDefault="00B7776D" w:rsidP="00B7776D">
      <w:pPr>
        <w:pStyle w:val="Heading2"/>
        <w:numPr>
          <w:ilvl w:val="0"/>
          <w:numId w:val="0"/>
        </w:numPr>
        <w:ind w:left="-709"/>
      </w:pPr>
      <w:bookmarkStart w:id="42" w:name="_Toc212177820"/>
      <w:bookmarkStart w:id="43" w:name="_Toc215287028"/>
      <w:bookmarkStart w:id="44" w:name="_Toc396395249"/>
      <w:r>
        <w:lastRenderedPageBreak/>
        <w:t>Gas Purge Sensors</w:t>
      </w:r>
      <w:bookmarkEnd w:id="42"/>
      <w:bookmarkEnd w:id="43"/>
      <w:bookmarkEnd w:id="44"/>
    </w:p>
    <w:p w14:paraId="029082C8" w14:textId="77777777" w:rsidR="00B7776D" w:rsidRDefault="00B7776D" w:rsidP="00B7776D">
      <w:pPr>
        <w:pStyle w:val="Body"/>
      </w:pPr>
      <w:r>
        <w:t>Gas purge sensors</w:t>
      </w:r>
      <w:r w:rsidRPr="00386554">
        <w:t xml:space="preserve"> differ </w:t>
      </w:r>
      <w:r>
        <w:t xml:space="preserve">from a submersible pressure transducer </w:t>
      </w:r>
      <w:r w:rsidRPr="00386554">
        <w:t>by having the tran</w:t>
      </w:r>
      <w:r>
        <w:t xml:space="preserve">sducer located well above water </w:t>
      </w:r>
      <w:r w:rsidRPr="00386554">
        <w:t xml:space="preserve">level, normally within the recorder housing. </w:t>
      </w:r>
    </w:p>
    <w:p w14:paraId="7CF5E275" w14:textId="77777777" w:rsidR="00B7776D" w:rsidRDefault="00B7776D" w:rsidP="00B7776D">
      <w:pPr>
        <w:pStyle w:val="Body"/>
      </w:pPr>
      <w:r>
        <w:t xml:space="preserve">The transducer senses water </w:t>
      </w:r>
      <w:r w:rsidRPr="00386554">
        <w:t xml:space="preserve">level at an </w:t>
      </w:r>
      <w:r>
        <w:t xml:space="preserve">underwater </w:t>
      </w:r>
      <w:r w:rsidRPr="00386554">
        <w:t xml:space="preserve">orifice </w:t>
      </w:r>
      <w:r>
        <w:t>that</w:t>
      </w:r>
      <w:r w:rsidRPr="00386554">
        <w:t xml:space="preserve"> is connected to </w:t>
      </w:r>
      <w:r>
        <w:t>the transducer</w:t>
      </w:r>
      <w:r w:rsidRPr="00386554">
        <w:t xml:space="preserve"> by small diameter tubing</w:t>
      </w:r>
      <w:r>
        <w:t>. This</w:t>
      </w:r>
      <w:r w:rsidRPr="00386554">
        <w:t xml:space="preserve"> in turn has a small feed of gas from a cylinder bubbling out through the orifice. The backpressure in the tubing is proportional to the water pressure over the ori</w:t>
      </w:r>
      <w:r>
        <w:t>fice and hence the water level.</w:t>
      </w:r>
    </w:p>
    <w:p w14:paraId="7FFD9E5C" w14:textId="77777777" w:rsidR="00B7776D" w:rsidRPr="00386554" w:rsidRDefault="00B7776D" w:rsidP="00B7776D">
      <w:pPr>
        <w:pStyle w:val="Body"/>
      </w:pPr>
      <w:r>
        <w:t>When measuring groundwater levels, there may not be sufficient space to install a pressure transducer, or the risks of not being able to retrieve it may be high. In this case, gas purge sensors are frequently used.</w:t>
      </w:r>
    </w:p>
    <w:p w14:paraId="3FB129EE" w14:textId="77777777" w:rsidR="00B7776D" w:rsidRDefault="00B7776D" w:rsidP="00B7776D">
      <w:pPr>
        <w:pStyle w:val="Note"/>
      </w:pPr>
      <w:r>
        <w:t>Note:</w:t>
      </w:r>
      <w:r>
        <w:tab/>
      </w:r>
      <w:r w:rsidRPr="001C69C4">
        <w:t>In some situations there are considerable advantages in having only small diameter tubing exposed to the stream rather tha</w:t>
      </w:r>
      <w:r>
        <w:t xml:space="preserve">n an expensive transducer. There is, however, </w:t>
      </w:r>
      <w:r w:rsidRPr="001C69C4">
        <w:t xml:space="preserve">additional cost </w:t>
      </w:r>
      <w:r>
        <w:t xml:space="preserve">associated with the use </w:t>
      </w:r>
      <w:r w:rsidRPr="001C69C4">
        <w:t xml:space="preserve">of the gas purge system. </w:t>
      </w:r>
    </w:p>
    <w:p w14:paraId="0AA268B4" w14:textId="77777777" w:rsidR="00B7776D" w:rsidRPr="001B23AB" w:rsidRDefault="00B7776D" w:rsidP="00B7776D">
      <w:pPr>
        <w:pStyle w:val="Note"/>
        <w:ind w:firstLine="0"/>
        <w:rPr>
          <w:color w:val="auto"/>
        </w:rPr>
      </w:pPr>
      <w:r>
        <w:t xml:space="preserve">These systems must be installed correctly, with regard to manufacturer’s instructions on bubble tube length, avoidance of dips in the bubble line, and a suitable orifice system that prevents under-reading in surging waters and </w:t>
      </w:r>
      <w:r w:rsidRPr="0023322C">
        <w:t xml:space="preserve">will </w:t>
      </w:r>
      <w:r>
        <w:t xml:space="preserve">enable the </w:t>
      </w:r>
      <w:r w:rsidRPr="0023322C">
        <w:t>measure</w:t>
      </w:r>
      <w:r>
        <w:t>ment of</w:t>
      </w:r>
      <w:r w:rsidRPr="0023322C">
        <w:t xml:space="preserve"> a fast rate of rise</w:t>
      </w:r>
      <w:r>
        <w:t xml:space="preserve"> or fall</w:t>
      </w:r>
      <w:r w:rsidRPr="0023322C">
        <w:rPr>
          <w:color w:val="auto"/>
        </w:rPr>
        <w:t>.</w:t>
      </w:r>
    </w:p>
    <w:p w14:paraId="139781AF" w14:textId="77777777" w:rsidR="00B7776D" w:rsidRDefault="00B7776D" w:rsidP="00B7776D">
      <w:pPr>
        <w:autoSpaceDE w:val="0"/>
        <w:autoSpaceDN w:val="0"/>
        <w:adjustRightInd w:val="0"/>
        <w:jc w:val="center"/>
        <w:rPr>
          <w:rFonts w:ascii="Arial,Bold" w:hAnsi="Arial,Bold" w:cs="Arial,Bold"/>
          <w:b/>
          <w:bCs/>
          <w:sz w:val="18"/>
          <w:szCs w:val="18"/>
        </w:rPr>
      </w:pPr>
      <w:r>
        <w:rPr>
          <w:noProof/>
          <w:lang w:val="en-NZ" w:eastAsia="en-NZ"/>
        </w:rPr>
        <w:drawing>
          <wp:inline distT="0" distB="0" distL="0" distR="0" wp14:anchorId="4D65E354" wp14:editId="58CEDA2B">
            <wp:extent cx="2832100" cy="2501900"/>
            <wp:effectExtent l="0" t="0" r="635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2100" cy="2501900"/>
                    </a:xfrm>
                    <a:prstGeom prst="rect">
                      <a:avLst/>
                    </a:prstGeom>
                    <a:noFill/>
                    <a:ln>
                      <a:noFill/>
                    </a:ln>
                  </pic:spPr>
                </pic:pic>
              </a:graphicData>
            </a:graphic>
          </wp:inline>
        </w:drawing>
      </w:r>
    </w:p>
    <w:p w14:paraId="3656C435" w14:textId="77777777" w:rsidR="00B7776D" w:rsidRDefault="00B7776D" w:rsidP="00B7776D">
      <w:pPr>
        <w:autoSpaceDE w:val="0"/>
        <w:autoSpaceDN w:val="0"/>
        <w:adjustRightInd w:val="0"/>
        <w:jc w:val="center"/>
        <w:rPr>
          <w:rFonts w:ascii="Arial,Bold" w:hAnsi="Arial,Bold" w:cs="Arial,Bold"/>
          <w:b/>
          <w:bCs/>
          <w:sz w:val="18"/>
          <w:szCs w:val="18"/>
        </w:rPr>
      </w:pPr>
      <w:r>
        <w:rPr>
          <w:rFonts w:ascii="Arial,Bold" w:hAnsi="Arial,Bold" w:cs="Arial,Bold"/>
          <w:b/>
          <w:bCs/>
          <w:sz w:val="18"/>
          <w:szCs w:val="18"/>
        </w:rPr>
        <w:t>Key</w:t>
      </w:r>
    </w:p>
    <w:p w14:paraId="39B1F07C" w14:textId="77777777" w:rsidR="00B7776D" w:rsidRDefault="00B7776D" w:rsidP="00B7776D">
      <w:pPr>
        <w:autoSpaceDE w:val="0"/>
        <w:autoSpaceDN w:val="0"/>
        <w:adjustRightInd w:val="0"/>
        <w:jc w:val="center"/>
        <w:rPr>
          <w:rFonts w:ascii="Arial" w:hAnsi="Arial" w:cs="Arial"/>
          <w:sz w:val="18"/>
          <w:szCs w:val="18"/>
        </w:rPr>
      </w:pPr>
      <w:r>
        <w:rPr>
          <w:rFonts w:ascii="Arial" w:hAnsi="Arial" w:cs="Arial"/>
          <w:sz w:val="18"/>
          <w:szCs w:val="18"/>
        </w:rPr>
        <w:t>1 pressure sensor</w:t>
      </w:r>
    </w:p>
    <w:p w14:paraId="7A63869B" w14:textId="77777777" w:rsidR="00B7776D" w:rsidRDefault="00B7776D" w:rsidP="00B7776D">
      <w:pPr>
        <w:autoSpaceDE w:val="0"/>
        <w:autoSpaceDN w:val="0"/>
        <w:adjustRightInd w:val="0"/>
        <w:jc w:val="center"/>
        <w:rPr>
          <w:rFonts w:ascii="Arial" w:hAnsi="Arial" w:cs="Arial"/>
          <w:sz w:val="18"/>
          <w:szCs w:val="18"/>
        </w:rPr>
      </w:pPr>
      <w:r>
        <w:rPr>
          <w:rFonts w:ascii="Arial" w:hAnsi="Arial" w:cs="Arial"/>
          <w:sz w:val="18"/>
          <w:szCs w:val="18"/>
        </w:rPr>
        <w:t>2 regulator</w:t>
      </w:r>
    </w:p>
    <w:p w14:paraId="572FE60A" w14:textId="77777777" w:rsidR="00B7776D" w:rsidRDefault="00B7776D" w:rsidP="00B7776D">
      <w:pPr>
        <w:autoSpaceDE w:val="0"/>
        <w:autoSpaceDN w:val="0"/>
        <w:adjustRightInd w:val="0"/>
        <w:jc w:val="center"/>
        <w:rPr>
          <w:rFonts w:ascii="Arial" w:hAnsi="Arial" w:cs="Arial"/>
          <w:sz w:val="18"/>
          <w:szCs w:val="18"/>
        </w:rPr>
      </w:pPr>
      <w:r>
        <w:rPr>
          <w:rFonts w:ascii="Arial" w:hAnsi="Arial" w:cs="Arial"/>
          <w:sz w:val="18"/>
          <w:szCs w:val="18"/>
        </w:rPr>
        <w:t>3 compressed gas</w:t>
      </w:r>
    </w:p>
    <w:p w14:paraId="6398DFAD" w14:textId="77777777" w:rsidR="00B7776D" w:rsidRDefault="00B7776D" w:rsidP="00B7776D">
      <w:pPr>
        <w:autoSpaceDE w:val="0"/>
        <w:autoSpaceDN w:val="0"/>
        <w:adjustRightInd w:val="0"/>
        <w:rPr>
          <w:rFonts w:ascii="Arial" w:hAnsi="Arial" w:cs="Arial"/>
          <w:sz w:val="18"/>
          <w:szCs w:val="18"/>
        </w:rPr>
      </w:pPr>
    </w:p>
    <w:p w14:paraId="7AC9EC13" w14:textId="77777777" w:rsidR="00B7776D" w:rsidRDefault="00B7776D" w:rsidP="00B7776D">
      <w:pPr>
        <w:pStyle w:val="Caption"/>
      </w:pPr>
      <w:r>
        <w:t xml:space="preserve">Figure </w:t>
      </w:r>
      <w:r>
        <w:fldChar w:fldCharType="begin"/>
      </w:r>
      <w:r>
        <w:instrText xml:space="preserve"> SEQ Figure \* ARABIC </w:instrText>
      </w:r>
      <w:r>
        <w:fldChar w:fldCharType="separate"/>
      </w:r>
      <w:r>
        <w:rPr>
          <w:noProof/>
        </w:rPr>
        <w:t>7</w:t>
      </w:r>
      <w:r>
        <w:fldChar w:fldCharType="end"/>
      </w:r>
      <w:r>
        <w:t xml:space="preserve"> –</w:t>
      </w:r>
      <w:r>
        <w:rPr>
          <w:caps/>
        </w:rPr>
        <w:t xml:space="preserve"> </w:t>
      </w:r>
      <w:r>
        <w:t>Gas purge system</w:t>
      </w:r>
    </w:p>
    <w:p w14:paraId="2F729B40" w14:textId="77777777" w:rsidR="00B7776D" w:rsidRPr="00B04A7D" w:rsidRDefault="00B7776D" w:rsidP="00B7776D">
      <w:pPr>
        <w:pStyle w:val="CaptionAcknowledgement"/>
      </w:pPr>
      <w:r>
        <w:t>Source: ISO 4375 (2008) Hydrometry – Water Level Measuring Devices</w:t>
      </w:r>
    </w:p>
    <w:p w14:paraId="5ABAB3F3" w14:textId="77777777" w:rsidR="00B7776D" w:rsidRPr="00073B79" w:rsidRDefault="00B7776D" w:rsidP="00B7776D">
      <w:pPr>
        <w:pStyle w:val="Heading3"/>
        <w:numPr>
          <w:ilvl w:val="0"/>
          <w:numId w:val="0"/>
        </w:numPr>
        <w:ind w:left="-578"/>
      </w:pPr>
      <w:r w:rsidRPr="00073B79">
        <w:t>Accuracy Requirement</w:t>
      </w:r>
      <w:r>
        <w:t xml:space="preserve"> for Pressure Transducers</w:t>
      </w:r>
    </w:p>
    <w:p w14:paraId="479658FA" w14:textId="77777777" w:rsidR="00B7776D" w:rsidRDefault="00B7776D" w:rsidP="00B7776D">
      <w:pPr>
        <w:pStyle w:val="Body"/>
      </w:pPr>
      <w:r w:rsidRPr="00FD6D07">
        <w:t>The accuracy requirement for water l</w:t>
      </w:r>
      <w:r>
        <w:t xml:space="preserve">evel measurement </w:t>
      </w:r>
      <w:r w:rsidRPr="00FD6D07">
        <w:t xml:space="preserve">follows the USGS framework for sensor and site accuracy. </w:t>
      </w:r>
    </w:p>
    <w:p w14:paraId="6DE057A4" w14:textId="77777777" w:rsidR="00B7776D" w:rsidRDefault="00B7776D" w:rsidP="00B7776D">
      <w:pPr>
        <w:pStyle w:val="Body"/>
      </w:pPr>
      <w:r>
        <w:t>The</w:t>
      </w:r>
      <w:r w:rsidRPr="00FD6D07">
        <w:t xml:space="preserve"> sensor shall have an accuracy of </w:t>
      </w:r>
      <w:r>
        <w:t>±</w:t>
      </w:r>
      <w:r w:rsidRPr="00FD6D07">
        <w:t xml:space="preserve"> 3mm or 0.</w:t>
      </w:r>
      <w:r>
        <w:t>2</w:t>
      </w:r>
      <w:r w:rsidRPr="00FD6D07">
        <w:t xml:space="preserve">% </w:t>
      </w:r>
      <w:r>
        <w:t>of effective stage,</w:t>
      </w:r>
      <w:r w:rsidRPr="00FD6D07">
        <w:t xml:space="preserve"> whichever</w:t>
      </w:r>
      <w:r>
        <w:t xml:space="preserve"> is greatest. </w:t>
      </w:r>
    </w:p>
    <w:p w14:paraId="528F3333" w14:textId="77777777" w:rsidR="00B7776D" w:rsidRDefault="00B7776D" w:rsidP="00B7776D">
      <w:pPr>
        <w:pStyle w:val="Note"/>
      </w:pPr>
      <w:r>
        <w:t>Note: This gives a high degree of accuracy at low levels with a proportional decrease over the sensor range.</w:t>
      </w:r>
    </w:p>
    <w:p w14:paraId="5AAC18D9" w14:textId="77777777" w:rsidR="00B7776D" w:rsidRDefault="00B7776D" w:rsidP="00B7776D">
      <w:pPr>
        <w:pStyle w:val="Body"/>
      </w:pPr>
      <w:r>
        <w:lastRenderedPageBreak/>
        <w:t xml:space="preserve">Manufacturers state sensor accuracy in differing formats and can include linearity and temperature errors. The total error should be considered when selecting a pressure transducer. </w:t>
      </w:r>
    </w:p>
    <w:p w14:paraId="17421733" w14:textId="77777777" w:rsidR="00B7776D" w:rsidRDefault="00B7776D" w:rsidP="00B7776D">
      <w:pPr>
        <w:pStyle w:val="Body"/>
      </w:pPr>
      <w:r>
        <w:t xml:space="preserve">Accuracy may be in terms of full-scale error ( % FS ) which states error as a percentage of maximum sensor range, or as a percentage of measured value, which gives a proportional error over sensor range. </w:t>
      </w:r>
    </w:p>
    <w:p w14:paraId="5D80B540" w14:textId="77777777" w:rsidR="00B7776D" w:rsidRPr="00F318F4" w:rsidRDefault="00B7776D" w:rsidP="00B7776D">
      <w:pPr>
        <w:pStyle w:val="Note"/>
      </w:pPr>
      <w:r w:rsidRPr="00F318F4">
        <w:t>For example</w:t>
      </w:r>
      <w:r>
        <w:t xml:space="preserve">: </w:t>
      </w:r>
      <w:r>
        <w:br/>
        <w:t>A</w:t>
      </w:r>
      <w:r w:rsidRPr="00F318F4">
        <w:t xml:space="preserve"> sensor with a range of 10mH</w:t>
      </w:r>
      <w:r w:rsidRPr="002C42BD">
        <w:rPr>
          <w:vertAlign w:val="superscript"/>
        </w:rPr>
        <w:t>2</w:t>
      </w:r>
      <w:r w:rsidRPr="00F318F4">
        <w:t>O and accuracy of 0.1%FS has an error of 1</w:t>
      </w:r>
      <w:r>
        <w:t>0mm over the entire 10m range wh</w:t>
      </w:r>
      <w:r w:rsidRPr="00F318F4">
        <w:t>ere</w:t>
      </w:r>
      <w:r>
        <w:t>as</w:t>
      </w:r>
      <w:r w:rsidRPr="00F318F4">
        <w:t xml:space="preserve"> a sensor of the same range and accuracy of 0.1% of value has an error of 10mm at full range but only 5mm at half range.</w:t>
      </w:r>
    </w:p>
    <w:p w14:paraId="2DB63B28" w14:textId="77777777" w:rsidR="00B7776D" w:rsidRDefault="00B7776D" w:rsidP="00B7776D">
      <w:pPr>
        <w:pStyle w:val="Body"/>
      </w:pPr>
      <w:r w:rsidRPr="00FD6D07">
        <w:t>A sensor with a stated accuracy of 0.1%</w:t>
      </w:r>
      <w:r>
        <w:t xml:space="preserve"> </w:t>
      </w:r>
      <w:r w:rsidRPr="00FD6D07">
        <w:t xml:space="preserve">FS can be used if </w:t>
      </w:r>
      <w:r>
        <w:t>the calibration relationship</w:t>
      </w:r>
      <w:r w:rsidRPr="00FD6D07">
        <w:t xml:space="preserve"> is known and falls within the accuracy tolerance</w:t>
      </w:r>
      <w:r>
        <w:t xml:space="preserve"> of ±3 mm or 0.1% of effective stage</w:t>
      </w:r>
      <w:r w:rsidRPr="00FD6D07">
        <w:t xml:space="preserve">, this </w:t>
      </w:r>
      <w:r>
        <w:t xml:space="preserve">can be requested on purchase or can be determined and scaled </w:t>
      </w:r>
      <w:r w:rsidRPr="00FD6D07">
        <w:t xml:space="preserve">with </w:t>
      </w:r>
      <w:r>
        <w:t>a</w:t>
      </w:r>
      <w:r w:rsidRPr="00FD6D07">
        <w:t xml:space="preserve"> portable calibrator.</w:t>
      </w:r>
    </w:p>
    <w:p w14:paraId="43083E61" w14:textId="77777777" w:rsidR="00B7776D" w:rsidRDefault="00B7776D" w:rsidP="00B7776D">
      <w:pPr>
        <w:pStyle w:val="Body"/>
      </w:pPr>
      <w:r w:rsidRPr="00FD6D07">
        <w:t xml:space="preserve">For </w:t>
      </w:r>
      <w:r>
        <w:t>s</w:t>
      </w:r>
      <w:r w:rsidRPr="00FD6D07">
        <w:t>ensors with an error greater than 0.1% FS then the range of the instrument must be selected to ensure that the error does not exceed 3</w:t>
      </w:r>
      <w:r>
        <w:t xml:space="preserve"> </w:t>
      </w:r>
      <w:r w:rsidRPr="00FD6D07">
        <w:t>mm; i.e. for a 0.2% FS sensor the maximum range is 1.5</w:t>
      </w:r>
      <w:r>
        <w:t xml:space="preserve"> </w:t>
      </w:r>
      <w:r w:rsidRPr="00FD6D07">
        <w:t>m</w:t>
      </w:r>
      <w:r>
        <w:t>etres</w:t>
      </w:r>
      <w:r w:rsidRPr="00FD6D07">
        <w:t>.</w:t>
      </w:r>
    </w:p>
    <w:p w14:paraId="2E4DE8B4" w14:textId="77777777" w:rsidR="00B7776D" w:rsidRPr="00FD6D07" w:rsidRDefault="00B7776D" w:rsidP="00B7776D">
      <w:pPr>
        <w:pStyle w:val="Body"/>
      </w:pPr>
      <w:r>
        <w:t>A calibration certificate showing the relationship of the sensor to a traceable reference shall be supplied on purchase detailing the sensors accuracy</w:t>
      </w:r>
    </w:p>
    <w:p w14:paraId="7DE51695" w14:textId="77777777" w:rsidR="00B7776D" w:rsidRPr="002A39AC" w:rsidRDefault="00B7776D" w:rsidP="00B7776D">
      <w:pPr>
        <w:pStyle w:val="Heading3"/>
        <w:numPr>
          <w:ilvl w:val="0"/>
          <w:numId w:val="0"/>
        </w:numPr>
        <w:ind w:left="-578"/>
      </w:pPr>
      <w:r w:rsidRPr="002A39AC">
        <w:t xml:space="preserve">Installation and </w:t>
      </w:r>
      <w:r>
        <w:t>C</w:t>
      </w:r>
      <w:r w:rsidRPr="002A39AC">
        <w:t>ommissioning</w:t>
      </w:r>
    </w:p>
    <w:p w14:paraId="58A0401F" w14:textId="77777777" w:rsidR="00B7776D" w:rsidRDefault="00B7776D" w:rsidP="00B7776D">
      <w:pPr>
        <w:pStyle w:val="Body"/>
      </w:pPr>
      <w:r>
        <w:t>The most important component of installing a pressure transducer system is applying the correction to gauge zero. This requires an offset to be derived and applied to the raw signal on the data logger.</w:t>
      </w:r>
    </w:p>
    <w:p w14:paraId="16C8D7FB" w14:textId="77777777" w:rsidR="00B7776D" w:rsidRDefault="00B7776D" w:rsidP="00B7776D">
      <w:pPr>
        <w:pStyle w:val="Note"/>
      </w:pPr>
      <w:r>
        <w:t xml:space="preserve">Note: The sensor output may require additional scaling to return the correct engineering units for the water level measurement; this is most important on voltage and milliamp outputs but can be important for digital signals as well. </w:t>
      </w:r>
    </w:p>
    <w:p w14:paraId="32126F2F" w14:textId="77777777" w:rsidR="00B7776D" w:rsidRDefault="00B7776D" w:rsidP="00B7776D">
      <w:pPr>
        <w:pStyle w:val="Body"/>
      </w:pPr>
      <w:r>
        <w:t xml:space="preserve">Where possible the orifice or sensor mount should be surveyed to the datum to provide the offset, and monitored for stability over time. </w:t>
      </w:r>
    </w:p>
    <w:p w14:paraId="08401DFE" w14:textId="77777777" w:rsidR="00B7776D" w:rsidRPr="00F643D7" w:rsidRDefault="00B7776D" w:rsidP="00B7776D">
      <w:pPr>
        <w:pStyle w:val="Body"/>
      </w:pPr>
      <w:r>
        <w:t>Alternatively the sensor can be set to a suitable primary reference gauge. It is important to adequately record the offset information and ensure that the reference gauges are correctly aligned to recording zero.</w:t>
      </w:r>
    </w:p>
    <w:p w14:paraId="1ECB4A6E" w14:textId="77777777" w:rsidR="00B7776D" w:rsidRPr="00B33674" w:rsidRDefault="00B7776D" w:rsidP="00B7776D">
      <w:pPr>
        <w:autoSpaceDE w:val="0"/>
        <w:autoSpaceDN w:val="0"/>
        <w:adjustRightInd w:val="0"/>
        <w:rPr>
          <w:rFonts w:ascii="Arial" w:hAnsi="Arial" w:cs="Arial"/>
          <w:sz w:val="18"/>
          <w:szCs w:val="18"/>
        </w:rPr>
      </w:pPr>
    </w:p>
    <w:p w14:paraId="77F3176E" w14:textId="77777777" w:rsidR="00B7776D" w:rsidRDefault="00B7776D" w:rsidP="00B7776D">
      <w:pPr>
        <w:pStyle w:val="Heading2"/>
        <w:numPr>
          <w:ilvl w:val="0"/>
          <w:numId w:val="0"/>
        </w:numPr>
        <w:ind w:left="-709"/>
      </w:pPr>
      <w:bookmarkStart w:id="45" w:name="_Toc212177823"/>
      <w:bookmarkStart w:id="46" w:name="_Toc215287031"/>
      <w:bookmarkStart w:id="47" w:name="_Toc396395252"/>
      <w:r>
        <w:lastRenderedPageBreak/>
        <w:t>Stilling Wells</w:t>
      </w:r>
      <w:bookmarkEnd w:id="45"/>
      <w:bookmarkEnd w:id="46"/>
      <w:bookmarkEnd w:id="47"/>
    </w:p>
    <w:p w14:paraId="43D6BD03" w14:textId="77777777" w:rsidR="00B7776D" w:rsidRDefault="00B7776D" w:rsidP="00B7776D">
      <w:pPr>
        <w:pStyle w:val="Heading3"/>
        <w:numPr>
          <w:ilvl w:val="0"/>
          <w:numId w:val="0"/>
        </w:numPr>
        <w:ind w:left="-578"/>
      </w:pPr>
      <w:r>
        <w:t>Usage</w:t>
      </w:r>
    </w:p>
    <w:p w14:paraId="201E0537" w14:textId="77777777" w:rsidR="00B7776D" w:rsidRDefault="00B7776D" w:rsidP="00B7776D">
      <w:pPr>
        <w:pStyle w:val="Body"/>
      </w:pPr>
      <w:r>
        <w:t>Stilling wells shall be used to:</w:t>
      </w:r>
    </w:p>
    <w:p w14:paraId="3ABAE2C0" w14:textId="77777777" w:rsidR="00B7776D" w:rsidRDefault="00B7776D" w:rsidP="00B7776D">
      <w:pPr>
        <w:pStyle w:val="BulletIndent1"/>
      </w:pPr>
      <w:r w:rsidRPr="00A24389">
        <w:t>dampen the fluctuations present in open water</w:t>
      </w:r>
    </w:p>
    <w:p w14:paraId="2E99BC70" w14:textId="77777777" w:rsidR="00B7776D" w:rsidRDefault="00B7776D" w:rsidP="00B7776D">
      <w:pPr>
        <w:pStyle w:val="BulletIndent1"/>
      </w:pPr>
      <w:r>
        <w:t xml:space="preserve">protect the sensors, </w:t>
      </w:r>
      <w:r w:rsidRPr="00A24389">
        <w:t>e.g.</w:t>
      </w:r>
      <w:r>
        <w:t>,</w:t>
      </w:r>
      <w:r w:rsidRPr="00A24389">
        <w:t xml:space="preserve"> float and counterweight</w:t>
      </w:r>
      <w:r>
        <w:t xml:space="preserve"> sensors,</w:t>
      </w:r>
      <w:r w:rsidRPr="00A24389">
        <w:t xml:space="preserve"> and </w:t>
      </w:r>
    </w:p>
    <w:p w14:paraId="5ADEE29D" w14:textId="77777777" w:rsidR="00B7776D" w:rsidRPr="00FE7937" w:rsidRDefault="00B7776D" w:rsidP="00B7776D">
      <w:pPr>
        <w:pStyle w:val="BulletIndent1"/>
      </w:pPr>
      <w:r w:rsidRPr="00A24389">
        <w:t>provide</w:t>
      </w:r>
      <w:r>
        <w:t>,</w:t>
      </w:r>
      <w:r w:rsidRPr="00A24389">
        <w:t xml:space="preserve"> within the well</w:t>
      </w:r>
      <w:r>
        <w:t>,</w:t>
      </w:r>
      <w:r w:rsidRPr="00A24389">
        <w:t xml:space="preserve"> an accurate representation of the water level in the channel.</w:t>
      </w:r>
    </w:p>
    <w:p w14:paraId="33A87747" w14:textId="77777777" w:rsidR="00B7776D" w:rsidRDefault="00B7776D" w:rsidP="00B7776D">
      <w:pPr>
        <w:pStyle w:val="Heading3"/>
        <w:numPr>
          <w:ilvl w:val="0"/>
          <w:numId w:val="0"/>
        </w:numPr>
        <w:ind w:left="-578"/>
      </w:pPr>
      <w:r>
        <w:t>Stilling Well Design</w:t>
      </w:r>
    </w:p>
    <w:p w14:paraId="60F4BB41" w14:textId="77777777" w:rsidR="00B7776D" w:rsidRDefault="00B7776D" w:rsidP="00B7776D">
      <w:pPr>
        <w:pStyle w:val="Body"/>
      </w:pPr>
      <w:r>
        <w:t>Stilling well</w:t>
      </w:r>
      <w:r w:rsidRPr="00A24389">
        <w:t>s are generally made either of spiral-welded pi</w:t>
      </w:r>
      <w:r>
        <w:t xml:space="preserve">pe or standard rolled sections </w:t>
      </w:r>
      <w:r w:rsidRPr="00A24389">
        <w:t>1</w:t>
      </w:r>
      <w:r>
        <w:t>200</w:t>
      </w:r>
      <w:r w:rsidRPr="00A24389">
        <w:t xml:space="preserve"> m</w:t>
      </w:r>
      <w:r>
        <w:t>m</w:t>
      </w:r>
      <w:r w:rsidRPr="00A24389">
        <w:t xml:space="preserve"> in length. </w:t>
      </w:r>
    </w:p>
    <w:p w14:paraId="27C08C00" w14:textId="77777777" w:rsidR="00B7776D" w:rsidRDefault="00B7776D" w:rsidP="00B7776D">
      <w:pPr>
        <w:pStyle w:val="Body"/>
      </w:pPr>
      <w:r w:rsidRPr="00A24389">
        <w:t xml:space="preserve">A steel recorder housing bolts to the flange of the top section. </w:t>
      </w:r>
    </w:p>
    <w:p w14:paraId="20C7983F" w14:textId="77777777" w:rsidR="00B7776D" w:rsidRPr="00A24389" w:rsidRDefault="00B7776D" w:rsidP="00B7776D">
      <w:pPr>
        <w:pStyle w:val="Body"/>
      </w:pPr>
      <w:r>
        <w:t>The following diagram shows one design that</w:t>
      </w:r>
      <w:r w:rsidRPr="00A24389">
        <w:t xml:space="preserve"> consists of </w:t>
      </w:r>
      <w:r>
        <w:t>a</w:t>
      </w:r>
      <w:r w:rsidRPr="00A24389">
        <w:t xml:space="preserve"> number of </w:t>
      </w:r>
      <w:r>
        <w:t>sections; each section being 600 mm in diameter and 1200</w:t>
      </w:r>
      <w:r w:rsidRPr="00A24389">
        <w:t xml:space="preserve"> m</w:t>
      </w:r>
      <w:r>
        <w:t>m in length</w:t>
      </w:r>
      <w:r w:rsidRPr="00A24389">
        <w:t>.</w:t>
      </w:r>
    </w:p>
    <w:p w14:paraId="24285DDD" w14:textId="77777777" w:rsidR="00B7776D" w:rsidRDefault="00B7776D" w:rsidP="00B7776D">
      <w:pPr>
        <w:pStyle w:val="Note"/>
      </w:pPr>
    </w:p>
    <w:p w14:paraId="3BA5AADF" w14:textId="77777777" w:rsidR="00B7776D" w:rsidRPr="00263C20" w:rsidRDefault="00B7776D" w:rsidP="00B7776D">
      <w:pPr>
        <w:pStyle w:val="Note"/>
        <w:rPr>
          <w:i w:val="0"/>
        </w:rPr>
      </w:pPr>
      <w:r>
        <w:rPr>
          <w:i w:val="0"/>
          <w:noProof/>
          <w:lang w:val="en-NZ" w:eastAsia="en-NZ"/>
        </w:rPr>
        <w:drawing>
          <wp:inline distT="0" distB="0" distL="0" distR="0" wp14:anchorId="1B5AF8B8" wp14:editId="0C04751A">
            <wp:extent cx="4946894" cy="3934459"/>
            <wp:effectExtent l="0" t="0" r="635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 Elevatio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6894" cy="3934459"/>
                    </a:xfrm>
                    <a:prstGeom prst="rect">
                      <a:avLst/>
                    </a:prstGeom>
                  </pic:spPr>
                </pic:pic>
              </a:graphicData>
            </a:graphic>
          </wp:inline>
        </w:drawing>
      </w:r>
    </w:p>
    <w:p w14:paraId="5D9900B5" w14:textId="77777777" w:rsidR="00B7776D" w:rsidRDefault="00B7776D" w:rsidP="00B7776D">
      <w:pPr>
        <w:pStyle w:val="Caption"/>
      </w:pPr>
      <w:r>
        <w:t>Figure 10 – Typical Stilling Well and Housing Setup</w:t>
      </w:r>
    </w:p>
    <w:p w14:paraId="51BCF579" w14:textId="77777777" w:rsidR="00B7776D" w:rsidRPr="001A0669" w:rsidRDefault="00B7776D" w:rsidP="00B7776D">
      <w:pPr>
        <w:pStyle w:val="CaptionAcknowledgement"/>
      </w:pPr>
      <w:r>
        <w:t>Source: NIWA Field Manual</w:t>
      </w:r>
    </w:p>
    <w:p w14:paraId="5921F501" w14:textId="77777777" w:rsidR="00B7776D" w:rsidRDefault="00B7776D" w:rsidP="00B7776D">
      <w:pPr>
        <w:pStyle w:val="Note"/>
      </w:pPr>
      <w:r>
        <w:t>Note:</w:t>
      </w:r>
      <w:r>
        <w:tab/>
        <w:t>O</w:t>
      </w:r>
      <w:r w:rsidRPr="00115C16">
        <w:t>ther designs and materials may be as good or better in certain situations. Alternatives include pipes of concrete, plastic (PVC), spiral-welded steel, fibreglass and corrugated culvert pipes.</w:t>
      </w:r>
    </w:p>
    <w:p w14:paraId="06C0FD3C" w14:textId="77777777" w:rsidR="00B7776D" w:rsidRDefault="00B7776D" w:rsidP="00B7776D">
      <w:pPr>
        <w:pStyle w:val="Heading3"/>
        <w:numPr>
          <w:ilvl w:val="0"/>
          <w:numId w:val="0"/>
        </w:numPr>
        <w:ind w:left="-578"/>
      </w:pPr>
      <w:r>
        <w:lastRenderedPageBreak/>
        <w:t>Connection to Open Water</w:t>
      </w:r>
    </w:p>
    <w:p w14:paraId="34BFA06B" w14:textId="77777777" w:rsidR="00B7776D" w:rsidRDefault="00B7776D" w:rsidP="00B7776D">
      <w:pPr>
        <w:pStyle w:val="Body"/>
      </w:pPr>
      <w:r w:rsidRPr="00A24389">
        <w:t xml:space="preserve">The well </w:t>
      </w:r>
      <w:r>
        <w:t>shall be</w:t>
      </w:r>
      <w:r w:rsidRPr="00A24389">
        <w:t xml:space="preserve"> connected to the lake or river by means </w:t>
      </w:r>
      <w:r>
        <w:t>of suitably sized intake pipes.</w:t>
      </w:r>
    </w:p>
    <w:p w14:paraId="3679F67F" w14:textId="77777777" w:rsidR="00B7776D" w:rsidRPr="00A24389" w:rsidRDefault="00B7776D" w:rsidP="00B7776D">
      <w:pPr>
        <w:pStyle w:val="Body"/>
      </w:pPr>
      <w:r w:rsidRPr="00A24389">
        <w:t>Where velocity past the river end of the intake is at times high (i.e. above 1.5 m/s) drawdown of the water</w:t>
      </w:r>
      <w:r>
        <w:t xml:space="preserve"> </w:t>
      </w:r>
      <w:r w:rsidRPr="00A24389">
        <w:t>level in the well may occur. To reduce this, a capped and perf</w:t>
      </w:r>
      <w:r>
        <w:t xml:space="preserve">orated static tube </w:t>
      </w:r>
      <w:r w:rsidRPr="00A24389">
        <w:t>shall be attached, oriented parallel to the direction of flow (±</w:t>
      </w:r>
      <w:r>
        <w:t xml:space="preserve"> </w:t>
      </w:r>
      <w:r w:rsidRPr="00A24389">
        <w:t>10°).</w:t>
      </w:r>
    </w:p>
    <w:p w14:paraId="7FF246DE" w14:textId="77777777" w:rsidR="00B7776D" w:rsidRPr="005E44FF" w:rsidRDefault="00B7776D" w:rsidP="00B7776D">
      <w:pPr>
        <w:jc w:val="center"/>
      </w:pPr>
      <w:r>
        <w:rPr>
          <w:noProof/>
          <w:lang w:val="en-NZ" w:eastAsia="en-NZ"/>
        </w:rPr>
        <w:drawing>
          <wp:inline distT="0" distB="0" distL="0" distR="0" wp14:anchorId="220D1A26" wp14:editId="6BB0E404">
            <wp:extent cx="3181350" cy="3041650"/>
            <wp:effectExtent l="0" t="0" r="0" b="635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1350" cy="3041650"/>
                    </a:xfrm>
                    <a:prstGeom prst="rect">
                      <a:avLst/>
                    </a:prstGeom>
                    <a:noFill/>
                    <a:ln>
                      <a:noFill/>
                    </a:ln>
                  </pic:spPr>
                </pic:pic>
              </a:graphicData>
            </a:graphic>
          </wp:inline>
        </w:drawing>
      </w:r>
    </w:p>
    <w:p w14:paraId="0C959F99" w14:textId="77777777" w:rsidR="00B7776D" w:rsidRDefault="00B7776D" w:rsidP="00B7776D">
      <w:pPr>
        <w:pStyle w:val="Caption"/>
      </w:pPr>
      <w:bookmarkStart w:id="48" w:name="_Ref210896409"/>
      <w:bookmarkStart w:id="49" w:name="_Toc119936483"/>
      <w:bookmarkStart w:id="50" w:name="_Toc180236849"/>
      <w:bookmarkStart w:id="51" w:name="_Toc180286037"/>
      <w:bookmarkStart w:id="52" w:name="_Toc180286654"/>
      <w:r>
        <w:t xml:space="preserve">Figure </w:t>
      </w:r>
      <w:r>
        <w:fldChar w:fldCharType="begin"/>
      </w:r>
      <w:r>
        <w:instrText xml:space="preserve"> SEQ Figure \* ARABIC </w:instrText>
      </w:r>
      <w:r>
        <w:fldChar w:fldCharType="separate"/>
      </w:r>
      <w:r>
        <w:rPr>
          <w:noProof/>
        </w:rPr>
        <w:t>10</w:t>
      </w:r>
      <w:r>
        <w:fldChar w:fldCharType="end"/>
      </w:r>
      <w:r>
        <w:t xml:space="preserve"> – Typical Static Tube Setup</w:t>
      </w:r>
      <w:bookmarkEnd w:id="48"/>
    </w:p>
    <w:p w14:paraId="63186840" w14:textId="77777777" w:rsidR="00B7776D" w:rsidRPr="0026295A" w:rsidRDefault="00B7776D" w:rsidP="00B7776D">
      <w:pPr>
        <w:pStyle w:val="CaptionAcknowledgement"/>
      </w:pPr>
      <w:r>
        <w:t>Source: NIWA Field Manual</w:t>
      </w:r>
    </w:p>
    <w:p w14:paraId="3A645DE1" w14:textId="77777777" w:rsidR="00B7776D" w:rsidRPr="002E2D3B" w:rsidRDefault="00B7776D" w:rsidP="00B7776D">
      <w:pPr>
        <w:pStyle w:val="CaptionAcknowledgement"/>
      </w:pPr>
    </w:p>
    <w:p w14:paraId="37725987" w14:textId="77777777" w:rsidR="00B7776D" w:rsidRDefault="00B7776D" w:rsidP="00B7776D">
      <w:pPr>
        <w:pStyle w:val="Heading3"/>
        <w:numPr>
          <w:ilvl w:val="0"/>
          <w:numId w:val="0"/>
        </w:numPr>
        <w:ind w:left="-578"/>
      </w:pPr>
      <w:bookmarkStart w:id="53" w:name="_Toc119936484"/>
      <w:bookmarkStart w:id="54" w:name="_Toc180236850"/>
      <w:bookmarkStart w:id="55" w:name="_Toc180286038"/>
      <w:bookmarkStart w:id="56" w:name="_Toc180286655"/>
      <w:bookmarkEnd w:id="49"/>
      <w:bookmarkEnd w:id="50"/>
      <w:bookmarkEnd w:id="51"/>
      <w:bookmarkEnd w:id="52"/>
      <w:r>
        <w:t>Cross-Sectional Area</w:t>
      </w:r>
    </w:p>
    <w:p w14:paraId="38E17340" w14:textId="77777777" w:rsidR="00B7776D" w:rsidRDefault="00B7776D" w:rsidP="00B7776D">
      <w:pPr>
        <w:pStyle w:val="Body"/>
      </w:pPr>
      <w:r w:rsidRPr="00115C16">
        <w:t xml:space="preserve">The cross-sectional area of an intake pipe </w:t>
      </w:r>
      <w:r>
        <w:t>shall</w:t>
      </w:r>
      <w:r w:rsidRPr="00115C16">
        <w:t xml:space="preserve"> be large enough</w:t>
      </w:r>
      <w:r>
        <w:t xml:space="preserve"> relative to the diameter of</w:t>
      </w:r>
      <w:r w:rsidRPr="00115C16">
        <w:t xml:space="preserve"> the well to follow rapid changes in the external water level without significant lag</w:t>
      </w:r>
      <w:r>
        <w:t xml:space="preserve">. </w:t>
      </w:r>
    </w:p>
    <w:p w14:paraId="3C0F249C" w14:textId="77777777" w:rsidR="00B7776D" w:rsidRPr="00E46529" w:rsidRDefault="00B7776D" w:rsidP="00B7776D">
      <w:pPr>
        <w:pStyle w:val="Body"/>
      </w:pPr>
      <w:r>
        <w:t>For more information, see ‘</w:t>
      </w:r>
      <w:r>
        <w:fldChar w:fldCharType="begin"/>
      </w:r>
      <w:r>
        <w:instrText xml:space="preserve"> REF Annex_I \h </w:instrText>
      </w:r>
      <w:r>
        <w:fldChar w:fldCharType="separate"/>
      </w:r>
      <w:r w:rsidRPr="00C927C9">
        <w:t>Annex</w:t>
      </w:r>
      <w:r>
        <w:t xml:space="preserve"> I – Intake Pipe Dimensions</w:t>
      </w:r>
      <w:r>
        <w:fldChar w:fldCharType="end"/>
      </w:r>
      <w:r>
        <w:t>’.</w:t>
      </w:r>
    </w:p>
    <w:p w14:paraId="2BFC3DA7" w14:textId="77777777" w:rsidR="00B7776D" w:rsidRDefault="00B7776D" w:rsidP="00B7776D">
      <w:pPr>
        <w:pStyle w:val="Heading3"/>
        <w:numPr>
          <w:ilvl w:val="0"/>
          <w:numId w:val="0"/>
        </w:numPr>
        <w:ind w:left="-578"/>
      </w:pPr>
      <w:r>
        <w:t>Site Requirements</w:t>
      </w:r>
      <w:bookmarkEnd w:id="53"/>
      <w:bookmarkEnd w:id="54"/>
      <w:bookmarkEnd w:id="55"/>
      <w:bookmarkEnd w:id="56"/>
    </w:p>
    <w:p w14:paraId="06D6065D" w14:textId="77777777" w:rsidR="00B7776D" w:rsidRDefault="00B7776D" w:rsidP="00B7776D">
      <w:pPr>
        <w:pStyle w:val="Heading4"/>
        <w:numPr>
          <w:ilvl w:val="0"/>
          <w:numId w:val="0"/>
        </w:numPr>
        <w:ind w:left="-578"/>
      </w:pPr>
      <w:r>
        <w:t>Intake Pipes</w:t>
      </w:r>
    </w:p>
    <w:p w14:paraId="5BBED754" w14:textId="77777777" w:rsidR="00B7776D" w:rsidRDefault="00B7776D" w:rsidP="00B7776D">
      <w:pPr>
        <w:pStyle w:val="Body"/>
      </w:pPr>
      <w:r w:rsidRPr="00A24389">
        <w:t>Intake pipes shall be laid</w:t>
      </w:r>
      <w:r>
        <w:t>:</w:t>
      </w:r>
    </w:p>
    <w:p w14:paraId="43579E89" w14:textId="77777777" w:rsidR="00B7776D" w:rsidRDefault="00B7776D" w:rsidP="00B7776D">
      <w:pPr>
        <w:pStyle w:val="BulletIndent1"/>
      </w:pPr>
      <w:r w:rsidRPr="00A24389">
        <w:t xml:space="preserve">on firm material </w:t>
      </w:r>
      <w:r>
        <w:t>that</w:t>
      </w:r>
      <w:r w:rsidRPr="00A24389">
        <w:t xml:space="preserve"> will not subside, and </w:t>
      </w:r>
    </w:p>
    <w:p w14:paraId="1369D2A0" w14:textId="77777777" w:rsidR="00B7776D" w:rsidRPr="00A24389" w:rsidRDefault="00B7776D" w:rsidP="00B7776D">
      <w:pPr>
        <w:pStyle w:val="BulletIndent1"/>
      </w:pPr>
      <w:r w:rsidRPr="00A24389">
        <w:t>at a constant gradient</w:t>
      </w:r>
      <w:r>
        <w:t>;</w:t>
      </w:r>
      <w:r w:rsidRPr="00A24389">
        <w:t xml:space="preserve"> normally horizontal.</w:t>
      </w:r>
    </w:p>
    <w:p w14:paraId="5DC20A55" w14:textId="77777777" w:rsidR="00B7776D" w:rsidRDefault="00B7776D" w:rsidP="00B7776D">
      <w:pPr>
        <w:pStyle w:val="Body"/>
      </w:pPr>
      <w:r w:rsidRPr="00A24389">
        <w:t xml:space="preserve">The lowest intake pipe shall be at least 150 mm below the lowest anticipated </w:t>
      </w:r>
      <w:r>
        <w:t xml:space="preserve">water level </w:t>
      </w:r>
      <w:r w:rsidRPr="00A24389">
        <w:t xml:space="preserve">(but considerably further if degradation of the bed is possible). </w:t>
      </w:r>
    </w:p>
    <w:p w14:paraId="78134048" w14:textId="77777777" w:rsidR="00B7776D" w:rsidRPr="00A24389" w:rsidRDefault="00B7776D" w:rsidP="00B7776D">
      <w:pPr>
        <w:pStyle w:val="Note"/>
      </w:pPr>
      <w:r>
        <w:t>Note:</w:t>
      </w:r>
      <w:r>
        <w:tab/>
      </w:r>
      <w:r w:rsidRPr="00A24389">
        <w:t>This is a very important decision that may impact considerably on the usefulness of the structure over time.</w:t>
      </w:r>
    </w:p>
    <w:p w14:paraId="15960F75" w14:textId="77777777" w:rsidR="00B7776D" w:rsidRDefault="00B7776D" w:rsidP="00B7776D">
      <w:pPr>
        <w:pStyle w:val="Body"/>
      </w:pPr>
      <w:r w:rsidRPr="00A24389">
        <w:t>The lower intake pipe shall be at least 300 mm and preferably 1m above the bottom of the stilling well, to avoid blockage by sediment.</w:t>
      </w:r>
    </w:p>
    <w:p w14:paraId="38DBB460" w14:textId="77777777" w:rsidR="00B7776D" w:rsidRDefault="00B7776D" w:rsidP="00B7776D">
      <w:pPr>
        <w:pStyle w:val="Body"/>
      </w:pPr>
      <w:r w:rsidRPr="00A24389">
        <w:lastRenderedPageBreak/>
        <w:t>The intake pipe</w:t>
      </w:r>
      <w:r>
        <w:t>s’</w:t>
      </w:r>
      <w:r w:rsidRPr="00A24389">
        <w:t xml:space="preserve"> diameter</w:t>
      </w:r>
      <w:r>
        <w:t>s</w:t>
      </w:r>
      <w:r w:rsidRPr="00A24389">
        <w:t xml:space="preserve"> shall be large enough to </w:t>
      </w:r>
      <w:r>
        <w:t>keep</w:t>
      </w:r>
      <w:r w:rsidRPr="00A24389">
        <w:t xml:space="preserve"> lag</w:t>
      </w:r>
      <w:r>
        <w:t xml:space="preserve"> within acceptable limits</w:t>
      </w:r>
      <w:r w:rsidRPr="00A24389">
        <w:t xml:space="preserve">, but not overly large so that surging is not damped. </w:t>
      </w:r>
    </w:p>
    <w:p w14:paraId="5FA39B8B" w14:textId="77777777" w:rsidR="00B7776D" w:rsidRDefault="00B7776D" w:rsidP="00B7776D">
      <w:pPr>
        <w:pStyle w:val="Body"/>
      </w:pPr>
      <w:r>
        <w:t>For more information, see ‘</w:t>
      </w:r>
      <w:r>
        <w:fldChar w:fldCharType="begin"/>
      </w:r>
      <w:r>
        <w:instrText xml:space="preserve"> REF Annex_I \h </w:instrText>
      </w:r>
      <w:r>
        <w:fldChar w:fldCharType="separate"/>
      </w:r>
      <w:r w:rsidRPr="00C927C9">
        <w:t>Annex</w:t>
      </w:r>
      <w:r>
        <w:t xml:space="preserve"> I – Intake Pipe Dimensions</w:t>
      </w:r>
      <w:r>
        <w:fldChar w:fldCharType="end"/>
      </w:r>
      <w:r>
        <w:t>’.</w:t>
      </w:r>
    </w:p>
    <w:p w14:paraId="22930714" w14:textId="77777777" w:rsidR="00B7776D" w:rsidRDefault="00B7776D" w:rsidP="00B7776D">
      <w:pPr>
        <w:pStyle w:val="Normalbodytext"/>
        <w:ind w:left="360"/>
        <w:jc w:val="center"/>
      </w:pPr>
      <w:r>
        <w:rPr>
          <w:noProof/>
          <w:lang w:val="en-NZ" w:eastAsia="en-NZ"/>
        </w:rPr>
        <w:drawing>
          <wp:inline distT="0" distB="0" distL="0" distR="0" wp14:anchorId="7C2860D7" wp14:editId="34180DD2">
            <wp:extent cx="2755900" cy="1689100"/>
            <wp:effectExtent l="0" t="0" r="6350" b="635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900" cy="1689100"/>
                    </a:xfrm>
                    <a:prstGeom prst="rect">
                      <a:avLst/>
                    </a:prstGeom>
                    <a:noFill/>
                    <a:ln>
                      <a:noFill/>
                    </a:ln>
                  </pic:spPr>
                </pic:pic>
              </a:graphicData>
            </a:graphic>
          </wp:inline>
        </w:drawing>
      </w:r>
    </w:p>
    <w:p w14:paraId="7D834D19" w14:textId="77777777" w:rsidR="00B7776D" w:rsidRDefault="00B7776D" w:rsidP="00B7776D">
      <w:pPr>
        <w:pStyle w:val="Caption"/>
      </w:pPr>
      <w:r>
        <w:t xml:space="preserve">Figure </w:t>
      </w:r>
      <w:r>
        <w:fldChar w:fldCharType="begin"/>
      </w:r>
      <w:r>
        <w:instrText xml:space="preserve"> SEQ Figure \* ARABIC </w:instrText>
      </w:r>
      <w:r>
        <w:fldChar w:fldCharType="separate"/>
      </w:r>
      <w:r>
        <w:rPr>
          <w:noProof/>
        </w:rPr>
        <w:t>11</w:t>
      </w:r>
      <w:r>
        <w:fldChar w:fldCharType="end"/>
      </w:r>
      <w:r>
        <w:t xml:space="preserve"> – Example of Intake and Static Pipe</w:t>
      </w:r>
    </w:p>
    <w:p w14:paraId="3131B92F" w14:textId="77777777" w:rsidR="00B7776D" w:rsidRPr="0026295A" w:rsidRDefault="00B7776D" w:rsidP="00B7776D">
      <w:pPr>
        <w:pStyle w:val="CaptionAcknowledgement"/>
      </w:pPr>
      <w:r>
        <w:t>Photographer: Evan Baddock</w:t>
      </w:r>
    </w:p>
    <w:p w14:paraId="5B9A18B7" w14:textId="77777777" w:rsidR="00B7776D" w:rsidRPr="002E2D3B" w:rsidRDefault="00B7776D" w:rsidP="00B7776D">
      <w:pPr>
        <w:pStyle w:val="CaptionAcknowledgement"/>
      </w:pPr>
    </w:p>
    <w:p w14:paraId="41B2F9C0" w14:textId="77777777" w:rsidR="00B7776D" w:rsidRDefault="00B7776D" w:rsidP="00B7776D">
      <w:pPr>
        <w:pStyle w:val="Heading4"/>
        <w:numPr>
          <w:ilvl w:val="0"/>
          <w:numId w:val="0"/>
        </w:numPr>
        <w:ind w:left="-578"/>
      </w:pPr>
      <w:r>
        <w:t>Stilling Well Construction</w:t>
      </w:r>
    </w:p>
    <w:p w14:paraId="0A24095A" w14:textId="77777777" w:rsidR="00B7776D" w:rsidRPr="001B6E0D" w:rsidRDefault="00B7776D" w:rsidP="00B7776D">
      <w:pPr>
        <w:pStyle w:val="Body"/>
      </w:pPr>
      <w:r>
        <w:t>The stilling well shall:</w:t>
      </w:r>
    </w:p>
    <w:p w14:paraId="238789EE" w14:textId="77777777" w:rsidR="00B7776D" w:rsidRDefault="00B7776D" w:rsidP="00B7776D">
      <w:pPr>
        <w:pStyle w:val="BulletIndent1"/>
      </w:pPr>
      <w:r>
        <w:t xml:space="preserve">be </w:t>
      </w:r>
      <w:r w:rsidRPr="00A24389">
        <w:t xml:space="preserve">vertical within </w:t>
      </w:r>
      <w:r>
        <w:t>practicable</w:t>
      </w:r>
      <w:r w:rsidRPr="00A24389">
        <w:t xml:space="preserve"> limits </w:t>
      </w:r>
    </w:p>
    <w:p w14:paraId="21C326D6" w14:textId="77777777" w:rsidR="00B7776D" w:rsidRDefault="00B7776D" w:rsidP="00B7776D">
      <w:pPr>
        <w:pStyle w:val="BulletIndent1"/>
      </w:pPr>
      <w:r>
        <w:t>not allow the float and counter-weight systems to come in contact with the walls.</w:t>
      </w:r>
    </w:p>
    <w:p w14:paraId="56B59C22" w14:textId="77777777" w:rsidR="00B7776D" w:rsidRPr="00A24389" w:rsidRDefault="00B7776D" w:rsidP="00B7776D">
      <w:pPr>
        <w:pStyle w:val="BulletIndent1"/>
      </w:pPr>
      <w:r w:rsidRPr="00A24389">
        <w:t>have sufficient height and depth to allow the float to freely</w:t>
      </w:r>
      <w:r>
        <w:t xml:space="preserve"> </w:t>
      </w:r>
      <w:r w:rsidRPr="00A24389">
        <w:t xml:space="preserve">travel </w:t>
      </w:r>
      <w:r>
        <w:t>up and down the full range of water levels, and</w:t>
      </w:r>
    </w:p>
    <w:p w14:paraId="1033ADA1" w14:textId="77777777" w:rsidR="00B7776D" w:rsidRDefault="00B7776D" w:rsidP="00B7776D">
      <w:pPr>
        <w:pStyle w:val="BulletIndent1"/>
      </w:pPr>
      <w:r>
        <w:t xml:space="preserve">be </w:t>
      </w:r>
      <w:r w:rsidRPr="00A24389">
        <w:t>firmly founded so that subsidence will not occur</w:t>
      </w:r>
      <w:r>
        <w:t>.</w:t>
      </w:r>
      <w:r>
        <w:br/>
      </w:r>
      <w:r w:rsidRPr="008D7731">
        <w:rPr>
          <w:i/>
          <w:color w:val="404040"/>
        </w:rPr>
        <w:t>Note: Foundations that sit directly on bedrock are preferable; otherwise a substantial concrete mass poured into hard alluvium is required.</w:t>
      </w:r>
    </w:p>
    <w:p w14:paraId="2998B4D5" w14:textId="77777777" w:rsidR="00B7776D" w:rsidRDefault="00B7776D" w:rsidP="00B7776D">
      <w:pPr>
        <w:pStyle w:val="Body"/>
      </w:pPr>
      <w:r w:rsidRPr="00A24389">
        <w:t>All construction joints of the well and intake pipes shall be watertight</w:t>
      </w:r>
      <w:r>
        <w:t>.</w:t>
      </w:r>
    </w:p>
    <w:p w14:paraId="625E23D2" w14:textId="77777777" w:rsidR="00B7776D" w:rsidRDefault="00B7776D" w:rsidP="00B7776D">
      <w:pPr>
        <w:pStyle w:val="Note"/>
      </w:pPr>
      <w:r>
        <w:t xml:space="preserve">Note: Watertight joints ensure </w:t>
      </w:r>
      <w:r w:rsidRPr="00A24389">
        <w:t xml:space="preserve">that water can only enter </w:t>
      </w:r>
      <w:r>
        <w:t>and</w:t>
      </w:r>
      <w:r w:rsidRPr="00A24389">
        <w:t xml:space="preserve"> leave </w:t>
      </w:r>
      <w:r>
        <w:t>through the intake</w:t>
      </w:r>
      <w:r w:rsidRPr="00A24389">
        <w:t xml:space="preserve">. </w:t>
      </w:r>
    </w:p>
    <w:p w14:paraId="50912454" w14:textId="77777777" w:rsidR="00B7776D" w:rsidRDefault="00B7776D" w:rsidP="00B7776D">
      <w:pPr>
        <w:pStyle w:val="Body"/>
      </w:pPr>
      <w:r w:rsidRPr="00A24389">
        <w:t xml:space="preserve">A means of access </w:t>
      </w:r>
      <w:r>
        <w:t xml:space="preserve">to the well and intakes for cleaning and other maintenance reasons </w:t>
      </w:r>
      <w:r w:rsidRPr="00A24389">
        <w:t>shall</w:t>
      </w:r>
      <w:r>
        <w:t xml:space="preserve"> </w:t>
      </w:r>
      <w:r w:rsidRPr="00A24389">
        <w:t>be provided</w:t>
      </w:r>
      <w:r>
        <w:t xml:space="preserve">.  </w:t>
      </w:r>
    </w:p>
    <w:p w14:paraId="6B2B79B6" w14:textId="77777777" w:rsidR="00B7776D" w:rsidRDefault="00B7776D" w:rsidP="00B7776D">
      <w:pPr>
        <w:pStyle w:val="Heading3"/>
        <w:numPr>
          <w:ilvl w:val="0"/>
          <w:numId w:val="0"/>
        </w:numPr>
        <w:ind w:left="-578"/>
      </w:pPr>
      <w:r>
        <w:t>Silting Management</w:t>
      </w:r>
    </w:p>
    <w:p w14:paraId="7DE93B17" w14:textId="77777777" w:rsidR="00B7776D" w:rsidRDefault="00B7776D" w:rsidP="00B7776D">
      <w:pPr>
        <w:pStyle w:val="Body"/>
      </w:pPr>
      <w:r w:rsidRPr="00A24389">
        <w:t>Sites wit</w:t>
      </w:r>
      <w:r>
        <w:t>h known sediment problems shall</w:t>
      </w:r>
      <w:r w:rsidRPr="00A24389">
        <w:t xml:space="preserve"> be </w:t>
      </w:r>
      <w:r>
        <w:t>carefully checked at each visit, and i</w:t>
      </w:r>
      <w:r w:rsidRPr="003728B1">
        <w:t>f there are any indications of a siltation problem</w:t>
      </w:r>
      <w:r>
        <w:t>,</w:t>
      </w:r>
      <w:r w:rsidRPr="003728B1">
        <w:t xml:space="preserve"> the </w:t>
      </w:r>
      <w:r>
        <w:t>stilling well</w:t>
      </w:r>
      <w:r w:rsidRPr="003728B1">
        <w:t xml:space="preserve"> must be flushed as soon as possible.</w:t>
      </w:r>
    </w:p>
    <w:p w14:paraId="778CEAD9" w14:textId="77777777" w:rsidR="00B7776D" w:rsidRPr="00115C16" w:rsidRDefault="00B7776D" w:rsidP="00B7776D">
      <w:pPr>
        <w:pStyle w:val="Note"/>
      </w:pPr>
      <w:r>
        <w:t>Note:</w:t>
      </w:r>
      <w:r>
        <w:tab/>
      </w:r>
      <w:r w:rsidRPr="00115C16">
        <w:t xml:space="preserve"> Indications of a blocked or partially blocked </w:t>
      </w:r>
      <w:r>
        <w:t>stilling well</w:t>
      </w:r>
      <w:r w:rsidRPr="00115C16">
        <w:t xml:space="preserve"> are usually apparent on the recorded hydrograph. It may show up as uncharacteristically flat </w:t>
      </w:r>
      <w:r>
        <w:t xml:space="preserve">or stepped </w:t>
      </w:r>
      <w:r w:rsidRPr="00115C16">
        <w:t>recessions, rounded peaks or a slow response to changes in external water levels</w:t>
      </w:r>
      <w:r>
        <w:t>.</w:t>
      </w:r>
    </w:p>
    <w:p w14:paraId="741A6CA8" w14:textId="77777777" w:rsidR="00B7776D" w:rsidRDefault="00B7776D" w:rsidP="00B7776D">
      <w:pPr>
        <w:pStyle w:val="Body"/>
      </w:pPr>
      <w:r>
        <w:t>For more information on f</w:t>
      </w:r>
      <w:r w:rsidRPr="00115C16">
        <w:t xml:space="preserve">lushing techniques for cleaning silt from </w:t>
      </w:r>
      <w:r>
        <w:t>stilling well</w:t>
      </w:r>
      <w:r w:rsidRPr="00115C16">
        <w:t xml:space="preserve">s, and methods for checking the amount of silt in a stilling </w:t>
      </w:r>
      <w:r>
        <w:t xml:space="preserve">well </w:t>
      </w:r>
      <w:r w:rsidRPr="00115C16">
        <w:t>or intake pipes</w:t>
      </w:r>
      <w:r>
        <w:t>, see ‘</w:t>
      </w:r>
      <w:r>
        <w:fldChar w:fldCharType="begin"/>
      </w:r>
      <w:r>
        <w:instrText xml:space="preserve"> REF Annex_F \h </w:instrText>
      </w:r>
      <w:r>
        <w:fldChar w:fldCharType="separate"/>
      </w:r>
      <w:r>
        <w:t>Annex F – De-Silting Stilling Wells</w:t>
      </w:r>
      <w:r>
        <w:fldChar w:fldCharType="end"/>
      </w:r>
      <w:r>
        <w:t>’.</w:t>
      </w:r>
    </w:p>
    <w:p w14:paraId="34C7638A" w14:textId="77777777" w:rsidR="00B7776D" w:rsidRPr="008D7731" w:rsidRDefault="00B7776D" w:rsidP="00B7776D">
      <w:pPr>
        <w:rPr>
          <w:b/>
          <w:bCs/>
          <w:color w:val="31849B"/>
          <w:sz w:val="18"/>
          <w:szCs w:val="18"/>
        </w:rPr>
      </w:pPr>
      <w:r>
        <w:br w:type="page"/>
      </w:r>
    </w:p>
    <w:p w14:paraId="60427E5F" w14:textId="77777777" w:rsidR="00B7776D" w:rsidRDefault="00B7776D" w:rsidP="00B7776D">
      <w:pPr>
        <w:pStyle w:val="Normalbodytext"/>
        <w:jc w:val="center"/>
        <w:rPr>
          <w:rFonts w:ascii="Cambria" w:hAnsi="Cambria"/>
        </w:rPr>
      </w:pPr>
      <w:r>
        <w:rPr>
          <w:rFonts w:ascii="Cambria" w:hAnsi="Cambria"/>
          <w:noProof/>
          <w:lang w:val="en-NZ" w:eastAsia="en-NZ"/>
        </w:rPr>
        <w:lastRenderedPageBreak/>
        <w:drawing>
          <wp:inline distT="0" distB="0" distL="0" distR="0" wp14:anchorId="19D6F28E" wp14:editId="6623ED14">
            <wp:extent cx="3657600" cy="4876800"/>
            <wp:effectExtent l="0" t="0" r="0" b="0"/>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4876800"/>
                    </a:xfrm>
                    <a:prstGeom prst="rect">
                      <a:avLst/>
                    </a:prstGeom>
                    <a:noFill/>
                    <a:ln>
                      <a:noFill/>
                    </a:ln>
                  </pic:spPr>
                </pic:pic>
              </a:graphicData>
            </a:graphic>
          </wp:inline>
        </w:drawing>
      </w:r>
    </w:p>
    <w:p w14:paraId="71F6E929" w14:textId="77777777" w:rsidR="00B7776D" w:rsidRDefault="00B7776D" w:rsidP="00B7776D">
      <w:pPr>
        <w:pStyle w:val="Caption"/>
      </w:pPr>
      <w:r>
        <w:t xml:space="preserve">Figure </w:t>
      </w:r>
      <w:r>
        <w:fldChar w:fldCharType="begin"/>
      </w:r>
      <w:r>
        <w:instrText xml:space="preserve"> SEQ Figure \* ARABIC </w:instrText>
      </w:r>
      <w:r>
        <w:fldChar w:fldCharType="separate"/>
      </w:r>
      <w:r>
        <w:rPr>
          <w:noProof/>
        </w:rPr>
        <w:t>12</w:t>
      </w:r>
      <w:r>
        <w:fldChar w:fldCharType="end"/>
      </w:r>
      <w:r>
        <w:t xml:space="preserve"> – Water Level Station Showing Multiple Sections and Housing</w:t>
      </w:r>
    </w:p>
    <w:p w14:paraId="285BC441" w14:textId="77777777" w:rsidR="00B7776D" w:rsidRPr="0026295A" w:rsidRDefault="00B7776D" w:rsidP="00B7776D">
      <w:pPr>
        <w:pStyle w:val="CaptionAcknowledgement"/>
      </w:pPr>
      <w:r>
        <w:t>Photographer: Evan Baddock</w:t>
      </w:r>
    </w:p>
    <w:p w14:paraId="6384BCEA" w14:textId="77777777" w:rsidR="00B7776D" w:rsidRPr="002E2D3B" w:rsidRDefault="00B7776D" w:rsidP="00B7776D">
      <w:pPr>
        <w:pStyle w:val="CaptionAcknowledgement"/>
      </w:pPr>
    </w:p>
    <w:p w14:paraId="76504BE6" w14:textId="77777777" w:rsidR="00B7776D" w:rsidRDefault="00B7776D" w:rsidP="00B7776D">
      <w:pPr>
        <w:pStyle w:val="Normalbodytext"/>
        <w:jc w:val="center"/>
        <w:rPr>
          <w:rFonts w:ascii="Cambria" w:hAnsi="Cambria"/>
        </w:rPr>
      </w:pPr>
    </w:p>
    <w:p w14:paraId="017CB02B" w14:textId="77777777" w:rsidR="00B7776D" w:rsidRDefault="00B7776D" w:rsidP="00B7776D">
      <w:pPr>
        <w:pStyle w:val="Heading2"/>
        <w:numPr>
          <w:ilvl w:val="0"/>
          <w:numId w:val="0"/>
        </w:numPr>
        <w:ind w:left="-709"/>
      </w:pPr>
      <w:bookmarkStart w:id="57" w:name="_Toc119936486"/>
      <w:bookmarkStart w:id="58" w:name="_Toc180236852"/>
      <w:bookmarkStart w:id="59" w:name="_Toc180286040"/>
      <w:bookmarkStart w:id="60" w:name="_Toc180286657"/>
      <w:bookmarkStart w:id="61" w:name="_Toc212177824"/>
      <w:bookmarkStart w:id="62" w:name="_Toc215287032"/>
      <w:bookmarkStart w:id="63" w:name="_Toc396395253"/>
      <w:r>
        <w:lastRenderedPageBreak/>
        <w:t>Recorder Housing</w:t>
      </w:r>
      <w:bookmarkEnd w:id="57"/>
      <w:bookmarkEnd w:id="58"/>
      <w:bookmarkEnd w:id="59"/>
      <w:bookmarkEnd w:id="60"/>
      <w:bookmarkEnd w:id="61"/>
      <w:bookmarkEnd w:id="62"/>
      <w:bookmarkEnd w:id="63"/>
    </w:p>
    <w:p w14:paraId="277F0D9B" w14:textId="77777777" w:rsidR="00B7776D" w:rsidRDefault="00B7776D" w:rsidP="00B7776D">
      <w:pPr>
        <w:pStyle w:val="Body"/>
      </w:pPr>
      <w:r>
        <w:t>The recorder housing shall</w:t>
      </w:r>
      <w:r w:rsidRPr="00A24389">
        <w:t>:</w:t>
      </w:r>
    </w:p>
    <w:p w14:paraId="5039BEB0" w14:textId="77777777" w:rsidR="00B7776D" w:rsidRPr="00A24389" w:rsidRDefault="00B7776D" w:rsidP="00B7776D">
      <w:pPr>
        <w:pStyle w:val="BulletIndent1"/>
      </w:pPr>
      <w:r>
        <w:t>be installed above maximum possible water level</w:t>
      </w:r>
    </w:p>
    <w:p w14:paraId="525540F0" w14:textId="77777777" w:rsidR="00B7776D" w:rsidRDefault="00B7776D" w:rsidP="00B7776D">
      <w:pPr>
        <w:pStyle w:val="BulletIndent1"/>
      </w:pPr>
      <w:r>
        <w:t>fully protect the equipment</w:t>
      </w:r>
      <w:r w:rsidRPr="00A24389">
        <w:t xml:space="preserve"> from</w:t>
      </w:r>
      <w:r>
        <w:t>:</w:t>
      </w:r>
    </w:p>
    <w:p w14:paraId="2BA91500" w14:textId="77777777" w:rsidR="00B7776D" w:rsidRDefault="00B7776D" w:rsidP="00B7776D">
      <w:pPr>
        <w:pStyle w:val="BulletIndent2"/>
      </w:pPr>
      <w:r w:rsidRPr="00A24389">
        <w:t>all inclement weather</w:t>
      </w:r>
    </w:p>
    <w:p w14:paraId="1097645D" w14:textId="77777777" w:rsidR="00B7776D" w:rsidRDefault="00B7776D" w:rsidP="00B7776D">
      <w:pPr>
        <w:pStyle w:val="BulletIndent2"/>
      </w:pPr>
      <w:r w:rsidRPr="00A24389">
        <w:t>spray</w:t>
      </w:r>
    </w:p>
    <w:p w14:paraId="1AF20294" w14:textId="77777777" w:rsidR="00B7776D" w:rsidRDefault="00B7776D" w:rsidP="00B7776D">
      <w:pPr>
        <w:pStyle w:val="BulletIndent2"/>
      </w:pPr>
      <w:r w:rsidRPr="00A24389">
        <w:t>condensation</w:t>
      </w:r>
    </w:p>
    <w:p w14:paraId="5159A37C" w14:textId="77777777" w:rsidR="00B7776D" w:rsidRDefault="00B7776D" w:rsidP="00B7776D">
      <w:pPr>
        <w:pStyle w:val="BulletIndent2"/>
      </w:pPr>
      <w:r w:rsidRPr="00A24389">
        <w:t>insects</w:t>
      </w:r>
    </w:p>
    <w:p w14:paraId="76E19CF7" w14:textId="77777777" w:rsidR="00B7776D" w:rsidRDefault="00B7776D" w:rsidP="00B7776D">
      <w:pPr>
        <w:pStyle w:val="BulletIndent2"/>
      </w:pPr>
      <w:r w:rsidRPr="00A24389">
        <w:t xml:space="preserve">vermin, and </w:t>
      </w:r>
    </w:p>
    <w:p w14:paraId="484FB687" w14:textId="77777777" w:rsidR="00B7776D" w:rsidRPr="00A24389" w:rsidRDefault="00B7776D" w:rsidP="00B7776D">
      <w:pPr>
        <w:pStyle w:val="BulletIndent2"/>
      </w:pPr>
      <w:r w:rsidRPr="00A24389">
        <w:t>the general public.</w:t>
      </w:r>
    </w:p>
    <w:p w14:paraId="351A2A31" w14:textId="77777777" w:rsidR="00B7776D" w:rsidRDefault="00B7776D" w:rsidP="00B7776D">
      <w:pPr>
        <w:pStyle w:val="BulletIndent1"/>
      </w:pPr>
      <w:r>
        <w:t>provide s</w:t>
      </w:r>
      <w:r w:rsidRPr="00A24389">
        <w:t>ufficient room for</w:t>
      </w:r>
      <w:r>
        <w:t>:</w:t>
      </w:r>
    </w:p>
    <w:p w14:paraId="47D168C6" w14:textId="77777777" w:rsidR="00B7776D" w:rsidRDefault="00B7776D" w:rsidP="00B7776D">
      <w:pPr>
        <w:pStyle w:val="BulletIndent2"/>
      </w:pPr>
      <w:r>
        <w:t>equipment</w:t>
      </w:r>
    </w:p>
    <w:p w14:paraId="47AD5F01" w14:textId="77777777" w:rsidR="00B7776D" w:rsidRDefault="00B7776D" w:rsidP="00B7776D">
      <w:pPr>
        <w:pStyle w:val="BulletIndent2"/>
      </w:pPr>
      <w:r w:rsidRPr="00A24389">
        <w:t xml:space="preserve">field books </w:t>
      </w:r>
    </w:p>
    <w:p w14:paraId="6122727E" w14:textId="77777777" w:rsidR="00B7776D" w:rsidRDefault="00B7776D" w:rsidP="00B7776D">
      <w:pPr>
        <w:pStyle w:val="BulletIndent2"/>
      </w:pPr>
      <w:r w:rsidRPr="00A24389">
        <w:t xml:space="preserve">telemetry equipment </w:t>
      </w:r>
      <w:r>
        <w:t>(</w:t>
      </w:r>
      <w:r w:rsidRPr="00A24389">
        <w:t>if applicable</w:t>
      </w:r>
      <w:r>
        <w:t>)</w:t>
      </w:r>
      <w:r w:rsidRPr="00A24389">
        <w:t xml:space="preserve">, and </w:t>
      </w:r>
    </w:p>
    <w:p w14:paraId="018F3068" w14:textId="77777777" w:rsidR="00B7776D" w:rsidRPr="00A24389" w:rsidRDefault="00B7776D" w:rsidP="00B7776D">
      <w:pPr>
        <w:pStyle w:val="BulletIndent2"/>
      </w:pPr>
      <w:r w:rsidRPr="00A24389">
        <w:t>downloading loggers.</w:t>
      </w:r>
    </w:p>
    <w:p w14:paraId="6D40B715" w14:textId="77777777" w:rsidR="00B7776D" w:rsidRPr="00A24389" w:rsidRDefault="00B7776D" w:rsidP="00B7776D">
      <w:pPr>
        <w:pStyle w:val="BulletIndent1"/>
      </w:pPr>
      <w:r>
        <w:t xml:space="preserve">be </w:t>
      </w:r>
      <w:r w:rsidRPr="00A24389">
        <w:t>clean</w:t>
      </w:r>
      <w:r>
        <w:t xml:space="preserve"> and </w:t>
      </w:r>
      <w:r w:rsidRPr="00A24389">
        <w:t xml:space="preserve">dry </w:t>
      </w:r>
      <w:r>
        <w:t>on the inside, and</w:t>
      </w:r>
    </w:p>
    <w:p w14:paraId="66BC8E66" w14:textId="77777777" w:rsidR="00B7776D" w:rsidRPr="003B38F3" w:rsidRDefault="00B7776D" w:rsidP="00B7776D">
      <w:pPr>
        <w:pStyle w:val="BulletIndent1"/>
      </w:pPr>
      <w:r>
        <w:t>have an exterior appearance that blends in</w:t>
      </w:r>
      <w:r w:rsidRPr="00A24389">
        <w:t xml:space="preserve"> with the landscape as much as possible.</w:t>
      </w:r>
      <w:r>
        <w:br/>
      </w:r>
      <w:r w:rsidRPr="008D7731">
        <w:rPr>
          <w:i/>
          <w:color w:val="404040"/>
        </w:rPr>
        <w:t xml:space="preserve">Note: The appearance can protect the recorder and associated equipment from the elements and from interference by the public and </w:t>
      </w:r>
      <w:r>
        <w:rPr>
          <w:i/>
          <w:color w:val="404040"/>
        </w:rPr>
        <w:t>wildlife</w:t>
      </w:r>
      <w:r w:rsidRPr="008D7731">
        <w:rPr>
          <w:i/>
          <w:color w:val="404040"/>
        </w:rPr>
        <w:t>.</w:t>
      </w:r>
    </w:p>
    <w:p w14:paraId="6AAFC87A" w14:textId="77777777" w:rsidR="00B7776D" w:rsidRDefault="00B7776D" w:rsidP="00B7776D">
      <w:pPr>
        <w:pStyle w:val="Body"/>
      </w:pPr>
      <w:r>
        <w:t>All</w:t>
      </w:r>
      <w:r w:rsidRPr="00A24389">
        <w:t xml:space="preserve"> equipment </w:t>
      </w:r>
      <w:r>
        <w:t xml:space="preserve">within the housing </w:t>
      </w:r>
      <w:r w:rsidRPr="00A24389">
        <w:t>shall be installed in a secure and orderly manner</w:t>
      </w:r>
      <w:r>
        <w:t>.</w:t>
      </w:r>
    </w:p>
    <w:p w14:paraId="74AADFF6" w14:textId="77777777" w:rsidR="00B7776D" w:rsidRPr="00A24389" w:rsidRDefault="00B7776D" w:rsidP="00B7776D">
      <w:pPr>
        <w:pStyle w:val="Note"/>
      </w:pPr>
      <w:r w:rsidRPr="008D7731">
        <w:t>Note: For example, wires, cables, pulleys must not interfere with operation and servicing.</w:t>
      </w:r>
    </w:p>
    <w:p w14:paraId="5A5ED2EE" w14:textId="77777777" w:rsidR="00B7776D" w:rsidRDefault="00B7776D" w:rsidP="00B7776D">
      <w:pPr>
        <w:pStyle w:val="Heading4"/>
        <w:numPr>
          <w:ilvl w:val="0"/>
          <w:numId w:val="0"/>
        </w:numPr>
        <w:ind w:left="-578"/>
      </w:pPr>
      <w:r>
        <w:t>Walk-in Types</w:t>
      </w:r>
    </w:p>
    <w:p w14:paraId="02CEEA54" w14:textId="77777777" w:rsidR="00B7776D" w:rsidRDefault="00B7776D" w:rsidP="00B7776D">
      <w:pPr>
        <w:pStyle w:val="Body"/>
      </w:pPr>
      <w:r>
        <w:t>A</w:t>
      </w:r>
      <w:r w:rsidRPr="00A24389">
        <w:t xml:space="preserve"> </w:t>
      </w:r>
      <w:r>
        <w:t>‘</w:t>
      </w:r>
      <w:r w:rsidRPr="00A24389">
        <w:t>walk-in</w:t>
      </w:r>
      <w:r>
        <w:t>’</w:t>
      </w:r>
      <w:r w:rsidRPr="00A24389">
        <w:t xml:space="preserve"> </w:t>
      </w:r>
      <w:r>
        <w:t>housing may be:</w:t>
      </w:r>
    </w:p>
    <w:p w14:paraId="57004147" w14:textId="77777777" w:rsidR="00B7776D" w:rsidRDefault="00B7776D" w:rsidP="00B7776D">
      <w:pPr>
        <w:pStyle w:val="BulletIndent1"/>
      </w:pPr>
      <w:r w:rsidRPr="00A24389">
        <w:t xml:space="preserve">a small shed or </w:t>
      </w:r>
    </w:p>
    <w:p w14:paraId="3FD51371" w14:textId="77777777" w:rsidR="00B7776D" w:rsidRDefault="00B7776D" w:rsidP="00B7776D">
      <w:pPr>
        <w:pStyle w:val="BulletIndent1"/>
      </w:pPr>
      <w:r w:rsidRPr="00A24389">
        <w:t xml:space="preserve">the top of a large diameter concrete </w:t>
      </w:r>
      <w:r>
        <w:t xml:space="preserve">stilling well that is </w:t>
      </w:r>
      <w:r w:rsidRPr="00A24389">
        <w:t>mounted</w:t>
      </w:r>
      <w:r>
        <w:t>:</w:t>
      </w:r>
    </w:p>
    <w:p w14:paraId="6C57ADF0" w14:textId="77777777" w:rsidR="00B7776D" w:rsidRDefault="00B7776D" w:rsidP="00B7776D">
      <w:pPr>
        <w:pStyle w:val="BulletIndent2"/>
      </w:pPr>
      <w:r w:rsidRPr="00A24389">
        <w:t>above a stilling well</w:t>
      </w:r>
      <w:r>
        <w:t>, or</w:t>
      </w:r>
    </w:p>
    <w:p w14:paraId="7AB8D2DC" w14:textId="77777777" w:rsidR="00B7776D" w:rsidRDefault="00B7776D" w:rsidP="00B7776D">
      <w:pPr>
        <w:pStyle w:val="BulletIndent2"/>
      </w:pPr>
      <w:r>
        <w:t>separately on the ground nearby.</w:t>
      </w:r>
    </w:p>
    <w:p w14:paraId="1F7E39BC" w14:textId="77777777" w:rsidR="00B7776D" w:rsidRDefault="00B7776D" w:rsidP="00B7776D">
      <w:pPr>
        <w:pStyle w:val="Heading4"/>
        <w:numPr>
          <w:ilvl w:val="0"/>
          <w:numId w:val="0"/>
        </w:numPr>
        <w:ind w:left="-578"/>
      </w:pPr>
      <w:r>
        <w:t>Chest Height Types</w:t>
      </w:r>
    </w:p>
    <w:p w14:paraId="4879A5DB" w14:textId="77777777" w:rsidR="00B7776D" w:rsidRDefault="00B7776D" w:rsidP="00B7776D">
      <w:pPr>
        <w:pStyle w:val="Body"/>
      </w:pPr>
      <w:r>
        <w:t>A ‘chest height’ recorder housing may</w:t>
      </w:r>
      <w:r w:rsidRPr="00A24389">
        <w:t xml:space="preserve"> be a smaller design mounted</w:t>
      </w:r>
      <w:r>
        <w:t>:</w:t>
      </w:r>
    </w:p>
    <w:p w14:paraId="7DDCA41D" w14:textId="77777777" w:rsidR="00B7776D" w:rsidRDefault="00B7776D" w:rsidP="00B7776D">
      <w:pPr>
        <w:pStyle w:val="BulletIndent1"/>
      </w:pPr>
      <w:r w:rsidRPr="00A24389">
        <w:t xml:space="preserve">at chest height on the recorder </w:t>
      </w:r>
      <w:r>
        <w:t>stilling well,</w:t>
      </w:r>
      <w:r w:rsidRPr="00A24389">
        <w:t xml:space="preserve"> or</w:t>
      </w:r>
    </w:p>
    <w:p w14:paraId="1490D969" w14:textId="77777777" w:rsidR="00B7776D" w:rsidRDefault="00B7776D" w:rsidP="00B7776D">
      <w:pPr>
        <w:pStyle w:val="BulletIndent1"/>
      </w:pPr>
      <w:r w:rsidRPr="00A24389">
        <w:t>if the sensor is connected only by cable or tubing</w:t>
      </w:r>
      <w:r>
        <w:t>,</w:t>
      </w:r>
      <w:r w:rsidRPr="00A24389">
        <w:t xml:space="preserve"> in a suitably protected location.</w:t>
      </w:r>
    </w:p>
    <w:p w14:paraId="13F141C7" w14:textId="77777777" w:rsidR="00B7776D" w:rsidRPr="00FB2A10" w:rsidRDefault="00B7776D" w:rsidP="00B7776D">
      <w:pPr>
        <w:pStyle w:val="Note"/>
      </w:pPr>
      <w:r>
        <w:t>Note:</w:t>
      </w:r>
      <w:r>
        <w:tab/>
      </w:r>
      <w:r w:rsidRPr="008D7731">
        <w:t>Exposed cabling and tubing also requires protection from the elements and interference.</w:t>
      </w:r>
    </w:p>
    <w:p w14:paraId="29751E5A" w14:textId="77777777" w:rsidR="00B7776D" w:rsidRDefault="00B7776D" w:rsidP="00B7776D">
      <w:pPr>
        <w:pStyle w:val="Caption"/>
      </w:pPr>
      <w:r>
        <w:rPr>
          <w:noProof/>
          <w:lang w:val="en-NZ" w:eastAsia="en-NZ"/>
        </w:rPr>
        <w:lastRenderedPageBreak/>
        <w:drawing>
          <wp:inline distT="0" distB="0" distL="0" distR="0" wp14:anchorId="0B4AFAA6" wp14:editId="567E78BC">
            <wp:extent cx="2540000" cy="3386666"/>
            <wp:effectExtent l="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372" cy="3387162"/>
                    </a:xfrm>
                    <a:prstGeom prst="rect">
                      <a:avLst/>
                    </a:prstGeom>
                    <a:noFill/>
                    <a:ln>
                      <a:noFill/>
                    </a:ln>
                  </pic:spPr>
                </pic:pic>
              </a:graphicData>
            </a:graphic>
          </wp:inline>
        </w:drawing>
      </w:r>
      <w:r w:rsidRPr="002371BD">
        <w:t xml:space="preserve"> </w:t>
      </w:r>
    </w:p>
    <w:p w14:paraId="0D1A18DF" w14:textId="77777777" w:rsidR="00B7776D" w:rsidRDefault="00B7776D" w:rsidP="00B7776D">
      <w:pPr>
        <w:pStyle w:val="Caption"/>
      </w:pPr>
      <w:r>
        <w:t xml:space="preserve">Figure </w:t>
      </w:r>
      <w:r>
        <w:fldChar w:fldCharType="begin"/>
      </w:r>
      <w:r>
        <w:instrText xml:space="preserve"> SEQ Figure \* ARABIC </w:instrText>
      </w:r>
      <w:r>
        <w:fldChar w:fldCharType="separate"/>
      </w:r>
      <w:r>
        <w:rPr>
          <w:noProof/>
        </w:rPr>
        <w:t>13</w:t>
      </w:r>
      <w:r>
        <w:fldChar w:fldCharType="end"/>
      </w:r>
      <w:r>
        <w:t xml:space="preserve"> – Typical Stilling Well Housing design</w:t>
      </w:r>
    </w:p>
    <w:p w14:paraId="3D38E300" w14:textId="77777777" w:rsidR="00B7776D" w:rsidRPr="0026295A" w:rsidRDefault="00B7776D" w:rsidP="00B7776D">
      <w:pPr>
        <w:pStyle w:val="CaptionAcknowledgement"/>
      </w:pPr>
      <w:r>
        <w:t>Photographer: Evan Baddock</w:t>
      </w:r>
    </w:p>
    <w:p w14:paraId="4A69557C" w14:textId="77777777" w:rsidR="00B7776D" w:rsidRPr="002E2D3B" w:rsidRDefault="00B7776D" w:rsidP="00B7776D">
      <w:pPr>
        <w:pStyle w:val="CaptionAcknowledgement"/>
      </w:pPr>
    </w:p>
    <w:p w14:paraId="460151C2" w14:textId="77777777" w:rsidR="00B7776D" w:rsidRPr="00E01D2D" w:rsidRDefault="00B7776D" w:rsidP="00B7776D">
      <w:pPr>
        <w:pStyle w:val="Heading2"/>
        <w:numPr>
          <w:ilvl w:val="0"/>
          <w:numId w:val="0"/>
        </w:numPr>
        <w:ind w:left="-709"/>
      </w:pPr>
      <w:bookmarkStart w:id="64" w:name="_Toc119936474"/>
      <w:bookmarkStart w:id="65" w:name="_Toc180236840"/>
      <w:bookmarkStart w:id="66" w:name="_Toc180286028"/>
      <w:bookmarkStart w:id="67" w:name="_Toc180286645"/>
      <w:bookmarkStart w:id="68" w:name="_Toc212177825"/>
      <w:bookmarkStart w:id="69" w:name="_Toc215287033"/>
      <w:bookmarkStart w:id="70" w:name="_Toc396395254"/>
      <w:r>
        <w:lastRenderedPageBreak/>
        <w:t>Recording I</w:t>
      </w:r>
      <w:r w:rsidRPr="00E01D2D">
        <w:t>nstruments</w:t>
      </w:r>
      <w:bookmarkEnd w:id="64"/>
      <w:bookmarkEnd w:id="65"/>
      <w:bookmarkEnd w:id="66"/>
      <w:bookmarkEnd w:id="67"/>
      <w:bookmarkEnd w:id="68"/>
      <w:bookmarkEnd w:id="69"/>
      <w:bookmarkEnd w:id="70"/>
    </w:p>
    <w:p w14:paraId="3BAA65E7" w14:textId="77777777" w:rsidR="00B7776D" w:rsidRPr="008D7731" w:rsidRDefault="00B7776D" w:rsidP="00B7776D">
      <w:pPr>
        <w:pStyle w:val="Heading3"/>
        <w:numPr>
          <w:ilvl w:val="0"/>
          <w:numId w:val="0"/>
        </w:numPr>
        <w:ind w:left="-578"/>
        <w:rPr>
          <w:rFonts w:ascii="Cambria" w:hAnsi="Cambria"/>
        </w:rPr>
      </w:pPr>
      <w:r w:rsidRPr="00E5190A">
        <w:t>Electronic Data Loggers</w:t>
      </w:r>
    </w:p>
    <w:p w14:paraId="13143460" w14:textId="77777777" w:rsidR="00B7776D" w:rsidRDefault="00B7776D" w:rsidP="00B7776D">
      <w:pPr>
        <w:pStyle w:val="Body"/>
      </w:pPr>
      <w:r>
        <w:t>An electronic data-logger shall be able to store at least the equivalent of four digits per reading. Where a data logger includes the sensing device, the resolution and uncertainty shall relate to the stored value.</w:t>
      </w:r>
    </w:p>
    <w:p w14:paraId="0929F81B" w14:textId="77777777" w:rsidR="00B7776D" w:rsidRDefault="00B7776D" w:rsidP="00B7776D">
      <w:pPr>
        <w:pStyle w:val="Body"/>
      </w:pPr>
      <w:r w:rsidRPr="00F75195">
        <w:t>There are many data</w:t>
      </w:r>
      <w:r>
        <w:t>-</w:t>
      </w:r>
      <w:r w:rsidRPr="00F75195">
        <w:t xml:space="preserve">loggers on the world market with a large range of price and capability. Generally they all have the capability to interface to several different types of sensors, vary the recording interval and output the data in various electronic formats to computers. </w:t>
      </w:r>
    </w:p>
    <w:p w14:paraId="2A1FE440" w14:textId="77777777" w:rsidR="00B7776D" w:rsidRDefault="00B7776D" w:rsidP="00B7776D">
      <w:pPr>
        <w:pStyle w:val="Body"/>
      </w:pPr>
      <w:r>
        <w:t>Chart recorders shall not be used.</w:t>
      </w:r>
    </w:p>
    <w:p w14:paraId="248426D2" w14:textId="77777777" w:rsidR="00B7776D" w:rsidRDefault="00B7776D" w:rsidP="00B7776D">
      <w:pPr>
        <w:pStyle w:val="Body"/>
      </w:pPr>
      <w:r w:rsidRPr="00F75195">
        <w:t>The main capabilit</w:t>
      </w:r>
      <w:r>
        <w:t>ies and factors</w:t>
      </w:r>
      <w:r w:rsidRPr="00F75195">
        <w:t xml:space="preserve"> </w:t>
      </w:r>
      <w:r>
        <w:t xml:space="preserve">to consider when choosing a data-logger </w:t>
      </w:r>
      <w:r w:rsidRPr="00F75195">
        <w:t>are</w:t>
      </w:r>
      <w:r>
        <w:t xml:space="preserve"> the</w:t>
      </w:r>
      <w:r w:rsidRPr="00F75195">
        <w:t>:</w:t>
      </w:r>
    </w:p>
    <w:p w14:paraId="7CD20946" w14:textId="77777777" w:rsidR="00B7776D" w:rsidRPr="00F75195" w:rsidRDefault="00B7776D" w:rsidP="00B7776D">
      <w:pPr>
        <w:pStyle w:val="BulletIndent1"/>
      </w:pPr>
      <w:r>
        <w:t>a</w:t>
      </w:r>
      <w:r w:rsidRPr="00F75195">
        <w:t>bility to interface to relevant sensors</w:t>
      </w:r>
    </w:p>
    <w:p w14:paraId="20BAAB1B" w14:textId="77777777" w:rsidR="00B7776D" w:rsidRPr="00F75195" w:rsidRDefault="00B7776D" w:rsidP="00B7776D">
      <w:pPr>
        <w:pStyle w:val="BulletIndent1"/>
      </w:pPr>
      <w:r w:rsidRPr="00F75195">
        <w:t>digital resolution (how many bits)</w:t>
      </w:r>
      <w:r>
        <w:t xml:space="preserve"> and accuracy</w:t>
      </w:r>
    </w:p>
    <w:p w14:paraId="3442FB35" w14:textId="77777777" w:rsidR="00B7776D" w:rsidRPr="00F75195" w:rsidRDefault="00B7776D" w:rsidP="00B7776D">
      <w:pPr>
        <w:pStyle w:val="BulletIndent1"/>
      </w:pPr>
      <w:r w:rsidRPr="00F75195">
        <w:t>telemetry capability and compatibility</w:t>
      </w:r>
    </w:p>
    <w:p w14:paraId="08ABF646" w14:textId="77777777" w:rsidR="00B7776D" w:rsidRDefault="00B7776D" w:rsidP="00B7776D">
      <w:pPr>
        <w:pStyle w:val="BulletIndent1"/>
      </w:pPr>
      <w:r>
        <w:t>a</w:t>
      </w:r>
      <w:r w:rsidRPr="00F75195">
        <w:t>dequacy of set-up and downloading software</w:t>
      </w:r>
    </w:p>
    <w:p w14:paraId="4813A2FC" w14:textId="77777777" w:rsidR="00B7776D" w:rsidRDefault="00B7776D" w:rsidP="00B7776D">
      <w:pPr>
        <w:pStyle w:val="BulletIndent1Note"/>
      </w:pPr>
      <w:r>
        <w:t>With digital devices, there can be poor on-site access to the data without specialised equipment or software.</w:t>
      </w:r>
    </w:p>
    <w:p w14:paraId="3460894B" w14:textId="77777777" w:rsidR="00B7776D" w:rsidRDefault="00B7776D" w:rsidP="00B7776D">
      <w:pPr>
        <w:pStyle w:val="BulletIndent1"/>
      </w:pPr>
      <w:r>
        <w:t>the ability to average and record other statistical information such as standard deviation</w:t>
      </w:r>
    </w:p>
    <w:p w14:paraId="767FE3BA" w14:textId="77777777" w:rsidR="00B7776D" w:rsidRDefault="00B7776D" w:rsidP="00B7776D">
      <w:pPr>
        <w:pStyle w:val="BulletIndent1"/>
      </w:pPr>
      <w:r>
        <w:t>recording of data at some distance from the sensor</w:t>
      </w:r>
    </w:p>
    <w:p w14:paraId="23503C7A" w14:textId="77777777" w:rsidR="00B7776D" w:rsidRDefault="00B7776D" w:rsidP="00B7776D">
      <w:pPr>
        <w:pStyle w:val="BulletIndent1"/>
      </w:pPr>
      <w:r>
        <w:t>reliability, compactness, and cost</w:t>
      </w:r>
    </w:p>
    <w:p w14:paraId="582CC8FE" w14:textId="77777777" w:rsidR="00B7776D" w:rsidRDefault="00B7776D" w:rsidP="00B7776D">
      <w:pPr>
        <w:pStyle w:val="BulletIndent1"/>
      </w:pPr>
      <w:r>
        <w:t>power requirement</w:t>
      </w:r>
    </w:p>
    <w:p w14:paraId="4927ACB6" w14:textId="77777777" w:rsidR="00B7776D" w:rsidRDefault="00B7776D" w:rsidP="00B7776D">
      <w:pPr>
        <w:pStyle w:val="BulletIndent1Note"/>
      </w:pPr>
      <w:r>
        <w:t>The power requirement should be low.</w:t>
      </w:r>
    </w:p>
    <w:p w14:paraId="1219A64D" w14:textId="77777777" w:rsidR="00B7776D" w:rsidRDefault="00B7776D" w:rsidP="00B7776D">
      <w:pPr>
        <w:pStyle w:val="BulletIndent1"/>
      </w:pPr>
      <w:r>
        <w:t>storage capacity</w:t>
      </w:r>
    </w:p>
    <w:p w14:paraId="7D0D85D3" w14:textId="77777777" w:rsidR="00B7776D" w:rsidRDefault="00B7776D" w:rsidP="00B7776D">
      <w:pPr>
        <w:pStyle w:val="BulletIndent1"/>
      </w:pPr>
      <w:r>
        <w:t>clock accuracy, and</w:t>
      </w:r>
    </w:p>
    <w:p w14:paraId="0AD3F627" w14:textId="77777777" w:rsidR="00B7776D" w:rsidRDefault="00B7776D" w:rsidP="00B7776D">
      <w:pPr>
        <w:pStyle w:val="BulletIndent1"/>
      </w:pPr>
      <w:r>
        <w:t>scan rate.</w:t>
      </w:r>
    </w:p>
    <w:p w14:paraId="0096EB72" w14:textId="77777777" w:rsidR="00B7776D" w:rsidRDefault="00B7776D" w:rsidP="00B7776D">
      <w:pPr>
        <w:pStyle w:val="BulletIndent1Note"/>
      </w:pPr>
      <w:r>
        <w:t>This is the frequency a data-logger is able to measure and process signals then recieve data.</w:t>
      </w:r>
    </w:p>
    <w:p w14:paraId="38D32D83" w14:textId="77777777" w:rsidR="00B7776D" w:rsidRDefault="00B7776D" w:rsidP="00B7776D">
      <w:pPr>
        <w:pStyle w:val="Body"/>
      </w:pPr>
    </w:p>
    <w:p w14:paraId="1885BDCE" w14:textId="77777777" w:rsidR="00B7776D" w:rsidRDefault="00B7776D" w:rsidP="00B7776D">
      <w:pPr>
        <w:pStyle w:val="Heading2"/>
        <w:numPr>
          <w:ilvl w:val="0"/>
          <w:numId w:val="0"/>
        </w:numPr>
        <w:ind w:left="-709"/>
      </w:pPr>
      <w:bookmarkStart w:id="71" w:name="_Toc119936470"/>
      <w:bookmarkStart w:id="72" w:name="_Toc180236836"/>
      <w:bookmarkStart w:id="73" w:name="_Toc180286024"/>
      <w:bookmarkStart w:id="74" w:name="_Toc180286641"/>
      <w:bookmarkStart w:id="75" w:name="_Toc212177826"/>
      <w:bookmarkStart w:id="76" w:name="_Toc215287034"/>
      <w:bookmarkStart w:id="77" w:name="_Toc396395255"/>
      <w:r w:rsidRPr="008247F5">
        <w:lastRenderedPageBreak/>
        <w:t xml:space="preserve">Site </w:t>
      </w:r>
      <w:bookmarkEnd w:id="71"/>
      <w:bookmarkEnd w:id="72"/>
      <w:bookmarkEnd w:id="73"/>
      <w:bookmarkEnd w:id="74"/>
      <w:r w:rsidRPr="008247F5">
        <w:t>&amp; Station Maintenance</w:t>
      </w:r>
      <w:bookmarkEnd w:id="75"/>
      <w:bookmarkEnd w:id="76"/>
      <w:bookmarkEnd w:id="77"/>
    </w:p>
    <w:p w14:paraId="5DCF4427" w14:textId="77777777" w:rsidR="00B7776D" w:rsidRDefault="00B7776D" w:rsidP="00B7776D">
      <w:pPr>
        <w:pStyle w:val="Body"/>
      </w:pPr>
      <w:r>
        <w:t>All stations shall be maintained in good order so that they are:</w:t>
      </w:r>
    </w:p>
    <w:p w14:paraId="73766E79" w14:textId="77777777" w:rsidR="00B7776D" w:rsidRDefault="00B7776D" w:rsidP="00B7776D">
      <w:pPr>
        <w:pStyle w:val="BulletIndent1"/>
      </w:pPr>
      <w:r>
        <w:t>reliable and operate effectively</w:t>
      </w:r>
    </w:p>
    <w:p w14:paraId="2178FDC9" w14:textId="77777777" w:rsidR="00B7776D" w:rsidRDefault="00B7776D" w:rsidP="00B7776D">
      <w:pPr>
        <w:pStyle w:val="BulletIndent1"/>
      </w:pPr>
      <w:r>
        <w:t>fit for carrying out their intended task, and</w:t>
      </w:r>
    </w:p>
    <w:p w14:paraId="39ACDC2A" w14:textId="77777777" w:rsidR="00B7776D" w:rsidRDefault="00B7776D" w:rsidP="00B7776D">
      <w:pPr>
        <w:pStyle w:val="BulletIndent1"/>
      </w:pPr>
      <w:r>
        <w:t>sufficiently tidy for efficient work practice.</w:t>
      </w:r>
    </w:p>
    <w:p w14:paraId="3787106C" w14:textId="77777777" w:rsidR="00B7776D" w:rsidRDefault="00B7776D" w:rsidP="00B7776D">
      <w:pPr>
        <w:pStyle w:val="Note"/>
      </w:pPr>
      <w:r>
        <w:t xml:space="preserve"> Note: A well-maintained station will project the impression of a professional operation. </w:t>
      </w:r>
    </w:p>
    <w:p w14:paraId="538DDEEB" w14:textId="77777777" w:rsidR="00B7776D" w:rsidRDefault="00B7776D" w:rsidP="00B7776D">
      <w:pPr>
        <w:pStyle w:val="Body"/>
      </w:pPr>
      <w:r>
        <w:t>To maintain a station and the  site in good order, the following tasks shall be carried out on a regular basis:</w:t>
      </w:r>
    </w:p>
    <w:p w14:paraId="04ADB57E" w14:textId="77777777" w:rsidR="00B7776D" w:rsidRDefault="00B7776D" w:rsidP="00B7776D">
      <w:pPr>
        <w:pStyle w:val="BulletIndent1"/>
      </w:pPr>
      <w:r>
        <w:t>The recorder housing shall be kept tidy.</w:t>
      </w:r>
      <w:r>
        <w:br/>
      </w:r>
      <w:r w:rsidRPr="008D7731">
        <w:rPr>
          <w:i/>
          <w:color w:val="404040"/>
        </w:rPr>
        <w:t>Note: Bare galvanising is often acceptable, particularly once weathered.</w:t>
      </w:r>
    </w:p>
    <w:p w14:paraId="17184744" w14:textId="77777777" w:rsidR="00B7776D" w:rsidRDefault="00B7776D" w:rsidP="00B7776D">
      <w:pPr>
        <w:pStyle w:val="BulletIndent1"/>
      </w:pPr>
      <w:r>
        <w:t xml:space="preserve">Hinges and locks shall be kept lubricated </w:t>
      </w:r>
      <w:r>
        <w:br/>
      </w:r>
      <w:r w:rsidRPr="008D7731">
        <w:rPr>
          <w:i/>
          <w:color w:val="404040"/>
        </w:rPr>
        <w:t>Note: Use graphite powder on locks; not oil but keep it away</w:t>
      </w:r>
      <w:r>
        <w:rPr>
          <w:i/>
          <w:color w:val="404040"/>
        </w:rPr>
        <w:t xml:space="preserve"> </w:t>
      </w:r>
      <w:r w:rsidRPr="008D7731">
        <w:rPr>
          <w:i/>
          <w:color w:val="404040"/>
        </w:rPr>
        <w:t>from electronic and electrical components and aluminium surfaces that may become wet.</w:t>
      </w:r>
      <w:r>
        <w:rPr>
          <w:i/>
          <w:color w:val="404040"/>
        </w:rPr>
        <w:t xml:space="preserve"> </w:t>
      </w:r>
      <w:r w:rsidRPr="008D7731">
        <w:rPr>
          <w:i/>
          <w:color w:val="404040"/>
        </w:rPr>
        <w:t>Use sparingly or it may bind locks.</w:t>
      </w:r>
    </w:p>
    <w:p w14:paraId="1972C0CA" w14:textId="77777777" w:rsidR="00B7776D" w:rsidRDefault="00B7776D" w:rsidP="00B7776D">
      <w:pPr>
        <w:pStyle w:val="BulletIndent1"/>
      </w:pPr>
      <w:r>
        <w:t>Signage relating to hazards shall be maintained</w:t>
      </w:r>
    </w:p>
    <w:p w14:paraId="625ACAFD" w14:textId="77777777" w:rsidR="00B7776D" w:rsidRDefault="00B7776D" w:rsidP="00B7776D">
      <w:pPr>
        <w:pStyle w:val="BulletIndent1"/>
      </w:pPr>
      <w:r>
        <w:t>Access tracks shall be maintained in a safe condition, including being clear of vegetation.</w:t>
      </w:r>
    </w:p>
    <w:p w14:paraId="502A424C" w14:textId="77777777" w:rsidR="00B7776D" w:rsidRDefault="00B7776D" w:rsidP="00B7776D">
      <w:pPr>
        <w:pStyle w:val="BulletIndent1"/>
      </w:pPr>
      <w:r>
        <w:t xml:space="preserve">The visual effect of the station on the environment shall be minimised. </w:t>
      </w:r>
    </w:p>
    <w:p w14:paraId="6DD688F7" w14:textId="77777777" w:rsidR="00BE49A8" w:rsidRDefault="0087786A"/>
    <w:sectPr w:rsidR="00BE49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w:altName w:val="Arial"/>
    <w:charset w:val="00"/>
    <w:family w:val="auto"/>
    <w:pitch w:val="variable"/>
    <w:sig w:usb0="80000267" w:usb1="00000000" w:usb2="00000000" w:usb3="00000000" w:csb0="000001F7"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Handwriting-Dakota">
    <w:altName w:val="Handwriting - Dakota"/>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F8EDE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258F4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106C3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E5ED5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2BC49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1D089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A0E0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4062A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445B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9E649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06"/>
    <w:multiLevelType w:val="hybridMultilevel"/>
    <w:tmpl w:val="00000006"/>
    <w:lvl w:ilvl="0" w:tplc="000001F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C47C06"/>
    <w:multiLevelType w:val="multilevel"/>
    <w:tmpl w:val="3716A978"/>
    <w:lvl w:ilvl="0">
      <w:start w:val="1"/>
      <w:numFmt w:val="decimal"/>
      <w:lvlText w:val="%1"/>
      <w:lvlJc w:val="left"/>
      <w:pPr>
        <w:ind w:left="-867" w:firstLine="158"/>
      </w:pPr>
      <w:rPr>
        <w:rFonts w:ascii="Century Gothic" w:hAnsi="Century Gothic" w:hint="default"/>
        <w:b w:val="0"/>
        <w:bCs w:val="0"/>
        <w:i w:val="0"/>
        <w:iCs w:val="0"/>
        <w:color w:val="595959" w:themeColor="text1" w:themeTint="A6"/>
        <w:sz w:val="20"/>
        <w:szCs w:val="20"/>
      </w:rPr>
    </w:lvl>
    <w:lvl w:ilvl="1">
      <w:start w:val="1"/>
      <w:numFmt w:val="decimal"/>
      <w:lvlText w:val="%1.%2"/>
      <w:lvlJc w:val="right"/>
      <w:pPr>
        <w:ind w:left="-720" w:firstLine="142"/>
      </w:pPr>
      <w:rPr>
        <w:rFonts w:ascii="Century Gothic" w:hAnsi="Century Gothic" w:hint="default"/>
        <w:b w:val="0"/>
        <w:bCs w:val="0"/>
        <w:i w:val="0"/>
        <w:iCs w:val="0"/>
        <w:color w:val="595959" w:themeColor="text1" w:themeTint="A6"/>
        <w:sz w:val="20"/>
        <w:szCs w:val="20"/>
      </w:rPr>
    </w:lvl>
    <w:lvl w:ilvl="2">
      <w:start w:val="1"/>
      <w:numFmt w:val="decimal"/>
      <w:lvlText w:val="%1.%2.%3"/>
      <w:lvlJc w:val="left"/>
      <w:pPr>
        <w:ind w:left="-578" w:firstLine="0"/>
      </w:pPr>
      <w:rPr>
        <w:rFonts w:ascii="Century Gothic" w:hAnsi="Century Gothic" w:hint="default"/>
        <w:b w:val="0"/>
        <w:bCs w:val="0"/>
        <w:i w:val="0"/>
        <w:iCs w:val="0"/>
        <w:color w:val="595959" w:themeColor="text1" w:themeTint="A6"/>
        <w:sz w:val="20"/>
        <w:szCs w:val="20"/>
      </w:rPr>
    </w:lvl>
    <w:lvl w:ilvl="3">
      <w:start w:val="1"/>
      <w:numFmt w:val="decimal"/>
      <w:lvlText w:val="%1.%2.%3.%4"/>
      <w:lvlJc w:val="left"/>
      <w:pPr>
        <w:ind w:left="-578" w:hanging="131"/>
      </w:pPr>
      <w:rPr>
        <w:rFonts w:ascii="Century Gothic" w:hAnsi="Century Gothic" w:hint="default"/>
        <w:b w:val="0"/>
        <w:bCs w:val="0"/>
        <w:i w:val="0"/>
        <w:iCs w:val="0"/>
        <w:color w:val="595959" w:themeColor="text1" w:themeTint="A6"/>
        <w:sz w:val="20"/>
        <w:szCs w:val="20"/>
      </w:rPr>
    </w:lvl>
    <w:lvl w:ilvl="4">
      <w:start w:val="1"/>
      <w:numFmt w:val="decimal"/>
      <w:lvlText w:val="%1.%2.%3.%4.%5"/>
      <w:lvlJc w:val="left"/>
      <w:pPr>
        <w:ind w:left="719" w:hanging="1008"/>
      </w:pPr>
      <w:rPr>
        <w:rFonts w:hint="default"/>
      </w:rPr>
    </w:lvl>
    <w:lvl w:ilvl="5">
      <w:start w:val="1"/>
      <w:numFmt w:val="decimal"/>
      <w:lvlText w:val="%1.%2.%3.%4.%5.%6"/>
      <w:lvlJc w:val="left"/>
      <w:pPr>
        <w:ind w:left="863" w:hanging="1152"/>
      </w:pPr>
      <w:rPr>
        <w:rFonts w:hint="default"/>
      </w:rPr>
    </w:lvl>
    <w:lvl w:ilvl="6">
      <w:start w:val="1"/>
      <w:numFmt w:val="decimal"/>
      <w:lvlText w:val="%1.%2.%3.%4.%5.%6.%7"/>
      <w:lvlJc w:val="left"/>
      <w:pPr>
        <w:ind w:left="1007" w:hanging="1296"/>
      </w:pPr>
      <w:rPr>
        <w:rFonts w:hint="default"/>
      </w:rPr>
    </w:lvl>
    <w:lvl w:ilvl="7">
      <w:start w:val="1"/>
      <w:numFmt w:val="decimal"/>
      <w:lvlText w:val="%1.%2.%3.%4.%5.%6.%7.%8"/>
      <w:lvlJc w:val="left"/>
      <w:pPr>
        <w:ind w:left="1151" w:hanging="1440"/>
      </w:pPr>
      <w:rPr>
        <w:rFonts w:hint="default"/>
      </w:rPr>
    </w:lvl>
    <w:lvl w:ilvl="8">
      <w:start w:val="1"/>
      <w:numFmt w:val="decimal"/>
      <w:lvlText w:val="%1.%2.%3.%4.%5.%6.%7.%8.%9"/>
      <w:lvlJc w:val="left"/>
      <w:pPr>
        <w:ind w:left="1295" w:hanging="1584"/>
      </w:pPr>
      <w:rPr>
        <w:rFonts w:hint="default"/>
      </w:rPr>
    </w:lvl>
  </w:abstractNum>
  <w:abstractNum w:abstractNumId="17" w15:restartNumberingAfterBreak="0">
    <w:nsid w:val="09A93902"/>
    <w:multiLevelType w:val="hybridMultilevel"/>
    <w:tmpl w:val="61068B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0ECC4E71"/>
    <w:multiLevelType w:val="hybridMultilevel"/>
    <w:tmpl w:val="FC4EEC20"/>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9" w15:restartNumberingAfterBreak="0">
    <w:nsid w:val="0EEC1B15"/>
    <w:multiLevelType w:val="hybridMultilevel"/>
    <w:tmpl w:val="6B5872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160C08DB"/>
    <w:multiLevelType w:val="hybridMultilevel"/>
    <w:tmpl w:val="A7527C8A"/>
    <w:lvl w:ilvl="0" w:tplc="7CD6FA50">
      <w:start w:val="1"/>
      <w:numFmt w:val="bullet"/>
      <w:lvlText w:val="∆"/>
      <w:lvlJc w:val="left"/>
      <w:pPr>
        <w:tabs>
          <w:tab w:val="num" w:pos="3"/>
        </w:tabs>
        <w:ind w:left="0" w:hanging="357"/>
      </w:pPr>
      <w:rPr>
        <w:rFonts w:ascii="Courier New" w:hAnsi="Courier New"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08B217C"/>
    <w:multiLevelType w:val="singleLevel"/>
    <w:tmpl w:val="F73AF272"/>
    <w:lvl w:ilvl="0">
      <w:start w:val="1"/>
      <w:numFmt w:val="decimal"/>
      <w:pStyle w:val="ProcedureStep"/>
      <w:lvlText w:val="%1."/>
      <w:lvlJc w:val="left"/>
      <w:pPr>
        <w:tabs>
          <w:tab w:val="num" w:pos="360"/>
        </w:tabs>
        <w:ind w:left="360" w:hanging="360"/>
      </w:pPr>
    </w:lvl>
  </w:abstractNum>
  <w:abstractNum w:abstractNumId="22" w15:restartNumberingAfterBreak="0">
    <w:nsid w:val="25D649D8"/>
    <w:multiLevelType w:val="multilevel"/>
    <w:tmpl w:val="48927B1E"/>
    <w:lvl w:ilvl="0">
      <w:start w:val="1"/>
      <w:numFmt w:val="decimal"/>
      <w:lvlText w:val="%1"/>
      <w:lvlJc w:val="left"/>
      <w:pPr>
        <w:ind w:left="-867" w:firstLine="158"/>
      </w:pPr>
      <w:rPr>
        <w:rFonts w:ascii="Century Gothic" w:hAnsi="Century Gothic" w:hint="default"/>
        <w:b w:val="0"/>
        <w:bCs w:val="0"/>
        <w:i w:val="0"/>
        <w:iCs w:val="0"/>
        <w:color w:val="595959" w:themeColor="text1" w:themeTint="A6"/>
        <w:sz w:val="20"/>
        <w:szCs w:val="20"/>
      </w:rPr>
    </w:lvl>
    <w:lvl w:ilvl="1">
      <w:start w:val="1"/>
      <w:numFmt w:val="decimal"/>
      <w:lvlText w:val="%1.%2"/>
      <w:lvlJc w:val="left"/>
      <w:pPr>
        <w:ind w:left="-720" w:firstLine="11"/>
      </w:pPr>
      <w:rPr>
        <w:rFonts w:ascii="Century Gothic" w:hAnsi="Century Gothic" w:hint="default"/>
        <w:b w:val="0"/>
        <w:bCs w:val="0"/>
        <w:i w:val="0"/>
        <w:iCs w:val="0"/>
        <w:color w:val="595959" w:themeColor="text1" w:themeTint="A6"/>
        <w:sz w:val="20"/>
        <w:szCs w:val="20"/>
      </w:rPr>
    </w:lvl>
    <w:lvl w:ilvl="2">
      <w:start w:val="1"/>
      <w:numFmt w:val="decimal"/>
      <w:lvlText w:val="%1.%2.%3"/>
      <w:lvlJc w:val="left"/>
      <w:pPr>
        <w:ind w:left="-578" w:hanging="131"/>
      </w:pPr>
      <w:rPr>
        <w:rFonts w:ascii="Century Gothic" w:hAnsi="Century Gothic" w:hint="default"/>
        <w:b w:val="0"/>
        <w:bCs w:val="0"/>
        <w:i w:val="0"/>
        <w:iCs w:val="0"/>
        <w:color w:val="595959" w:themeColor="text1" w:themeTint="A6"/>
        <w:sz w:val="20"/>
        <w:szCs w:val="20"/>
      </w:rPr>
    </w:lvl>
    <w:lvl w:ilvl="3">
      <w:start w:val="1"/>
      <w:numFmt w:val="decimal"/>
      <w:lvlText w:val="%1.%2.%3.%4"/>
      <w:lvlJc w:val="left"/>
      <w:pPr>
        <w:ind w:left="-578" w:hanging="131"/>
      </w:pPr>
      <w:rPr>
        <w:rFonts w:ascii="Century Gothic" w:hAnsi="Century Gothic" w:hint="default"/>
        <w:b w:val="0"/>
        <w:bCs w:val="0"/>
        <w:i w:val="0"/>
        <w:iCs w:val="0"/>
        <w:color w:val="595959" w:themeColor="text1" w:themeTint="A6"/>
        <w:sz w:val="20"/>
        <w:szCs w:val="20"/>
      </w:rPr>
    </w:lvl>
    <w:lvl w:ilvl="4">
      <w:start w:val="1"/>
      <w:numFmt w:val="decimal"/>
      <w:lvlText w:val="%1.%2.%3.%4.%5"/>
      <w:lvlJc w:val="left"/>
      <w:pPr>
        <w:ind w:left="719" w:hanging="1008"/>
      </w:pPr>
      <w:rPr>
        <w:rFonts w:hint="default"/>
      </w:rPr>
    </w:lvl>
    <w:lvl w:ilvl="5">
      <w:start w:val="1"/>
      <w:numFmt w:val="decimal"/>
      <w:lvlText w:val="%1.%2.%3.%4.%5.%6"/>
      <w:lvlJc w:val="left"/>
      <w:pPr>
        <w:ind w:left="863" w:hanging="1152"/>
      </w:pPr>
      <w:rPr>
        <w:rFonts w:hint="default"/>
      </w:rPr>
    </w:lvl>
    <w:lvl w:ilvl="6">
      <w:start w:val="1"/>
      <w:numFmt w:val="decimal"/>
      <w:lvlText w:val="%1.%2.%3.%4.%5.%6.%7"/>
      <w:lvlJc w:val="left"/>
      <w:pPr>
        <w:ind w:left="1007" w:hanging="1296"/>
      </w:pPr>
      <w:rPr>
        <w:rFonts w:hint="default"/>
      </w:rPr>
    </w:lvl>
    <w:lvl w:ilvl="7">
      <w:start w:val="1"/>
      <w:numFmt w:val="decimal"/>
      <w:lvlText w:val="%1.%2.%3.%4.%5.%6.%7.%8"/>
      <w:lvlJc w:val="left"/>
      <w:pPr>
        <w:ind w:left="1151" w:hanging="1440"/>
      </w:pPr>
      <w:rPr>
        <w:rFonts w:hint="default"/>
      </w:rPr>
    </w:lvl>
    <w:lvl w:ilvl="8">
      <w:start w:val="1"/>
      <w:numFmt w:val="decimal"/>
      <w:lvlText w:val="%1.%2.%3.%4.%5.%6.%7.%8.%9"/>
      <w:lvlJc w:val="left"/>
      <w:pPr>
        <w:ind w:left="1295" w:hanging="1584"/>
      </w:pPr>
      <w:rPr>
        <w:rFonts w:hint="default"/>
      </w:rPr>
    </w:lvl>
  </w:abstractNum>
  <w:abstractNum w:abstractNumId="23" w15:restartNumberingAfterBreak="0">
    <w:nsid w:val="267E69B4"/>
    <w:multiLevelType w:val="multilevel"/>
    <w:tmpl w:val="564E423E"/>
    <w:lvl w:ilvl="0">
      <w:start w:val="1"/>
      <w:numFmt w:val="decimal"/>
      <w:lvlText w:val="%1"/>
      <w:lvlJc w:val="left"/>
      <w:pPr>
        <w:ind w:left="-867" w:firstLine="158"/>
      </w:pPr>
      <w:rPr>
        <w:rFonts w:ascii="Century Gothic" w:hAnsi="Century Gothic" w:hint="default"/>
        <w:b w:val="0"/>
        <w:bCs w:val="0"/>
        <w:i w:val="0"/>
        <w:iCs w:val="0"/>
        <w:color w:val="595959" w:themeColor="text1" w:themeTint="A6"/>
        <w:sz w:val="18"/>
        <w:szCs w:val="18"/>
      </w:rPr>
    </w:lvl>
    <w:lvl w:ilvl="1">
      <w:start w:val="1"/>
      <w:numFmt w:val="decimal"/>
      <w:lvlText w:val="%1.%2"/>
      <w:lvlJc w:val="left"/>
      <w:pPr>
        <w:ind w:left="-720" w:firstLine="11"/>
      </w:pPr>
      <w:rPr>
        <w:rFonts w:ascii="Century Gothic" w:hAnsi="Century Gothic" w:hint="default"/>
        <w:b w:val="0"/>
        <w:bCs w:val="0"/>
        <w:i w:val="0"/>
        <w:iCs w:val="0"/>
        <w:color w:val="595959" w:themeColor="text1" w:themeTint="A6"/>
        <w:sz w:val="18"/>
        <w:szCs w:val="18"/>
      </w:rPr>
    </w:lvl>
    <w:lvl w:ilvl="2">
      <w:start w:val="1"/>
      <w:numFmt w:val="decimal"/>
      <w:lvlText w:val="%1.%2.%3"/>
      <w:lvlJc w:val="left"/>
      <w:pPr>
        <w:ind w:left="-578" w:hanging="131"/>
      </w:pPr>
      <w:rPr>
        <w:rFonts w:ascii="Century Gothic" w:hAnsi="Century Gothic" w:hint="default"/>
        <w:b w:val="0"/>
        <w:bCs w:val="0"/>
        <w:i w:val="0"/>
        <w:iCs w:val="0"/>
        <w:color w:val="595959" w:themeColor="text1" w:themeTint="A6"/>
        <w:sz w:val="18"/>
        <w:szCs w:val="18"/>
      </w:rPr>
    </w:lvl>
    <w:lvl w:ilvl="3">
      <w:start w:val="1"/>
      <w:numFmt w:val="decimal"/>
      <w:lvlText w:val="%1.%2.%3.%4"/>
      <w:lvlJc w:val="left"/>
      <w:pPr>
        <w:ind w:left="-578" w:hanging="131"/>
      </w:pPr>
      <w:rPr>
        <w:rFonts w:ascii="Century Gothic" w:hAnsi="Century Gothic" w:hint="default"/>
        <w:b w:val="0"/>
        <w:bCs w:val="0"/>
        <w:i w:val="0"/>
        <w:iCs w:val="0"/>
        <w:color w:val="595959" w:themeColor="text1" w:themeTint="A6"/>
        <w:sz w:val="18"/>
        <w:szCs w:val="18"/>
      </w:rPr>
    </w:lvl>
    <w:lvl w:ilvl="4">
      <w:start w:val="1"/>
      <w:numFmt w:val="decimal"/>
      <w:lvlText w:val="%1.%2.%3.%4.%5"/>
      <w:lvlJc w:val="left"/>
      <w:pPr>
        <w:ind w:left="719" w:hanging="1008"/>
      </w:pPr>
      <w:rPr>
        <w:rFonts w:hint="default"/>
      </w:rPr>
    </w:lvl>
    <w:lvl w:ilvl="5">
      <w:start w:val="1"/>
      <w:numFmt w:val="decimal"/>
      <w:lvlText w:val="%1.%2.%3.%4.%5.%6"/>
      <w:lvlJc w:val="left"/>
      <w:pPr>
        <w:ind w:left="863" w:hanging="1152"/>
      </w:pPr>
      <w:rPr>
        <w:rFonts w:hint="default"/>
      </w:rPr>
    </w:lvl>
    <w:lvl w:ilvl="6">
      <w:start w:val="1"/>
      <w:numFmt w:val="decimal"/>
      <w:lvlText w:val="%1.%2.%3.%4.%5.%6.%7"/>
      <w:lvlJc w:val="left"/>
      <w:pPr>
        <w:ind w:left="1007" w:hanging="1296"/>
      </w:pPr>
      <w:rPr>
        <w:rFonts w:hint="default"/>
      </w:rPr>
    </w:lvl>
    <w:lvl w:ilvl="7">
      <w:start w:val="1"/>
      <w:numFmt w:val="decimal"/>
      <w:lvlText w:val="%1.%2.%3.%4.%5.%6.%7.%8"/>
      <w:lvlJc w:val="left"/>
      <w:pPr>
        <w:ind w:left="1151" w:hanging="1440"/>
      </w:pPr>
      <w:rPr>
        <w:rFonts w:hint="default"/>
      </w:rPr>
    </w:lvl>
    <w:lvl w:ilvl="8">
      <w:start w:val="1"/>
      <w:numFmt w:val="decimal"/>
      <w:lvlText w:val="%1.%2.%3.%4.%5.%6.%7.%8.%9"/>
      <w:lvlJc w:val="left"/>
      <w:pPr>
        <w:ind w:left="1295" w:hanging="1584"/>
      </w:pPr>
      <w:rPr>
        <w:rFonts w:hint="default"/>
      </w:rPr>
    </w:lvl>
  </w:abstractNum>
  <w:abstractNum w:abstractNumId="24" w15:restartNumberingAfterBreak="0">
    <w:nsid w:val="30532547"/>
    <w:multiLevelType w:val="multilevel"/>
    <w:tmpl w:val="A7527C8A"/>
    <w:lvl w:ilvl="0">
      <w:start w:val="1"/>
      <w:numFmt w:val="bullet"/>
      <w:lvlText w:val="∆"/>
      <w:lvlJc w:val="left"/>
      <w:pPr>
        <w:tabs>
          <w:tab w:val="num" w:pos="3"/>
        </w:tabs>
        <w:ind w:left="0" w:hanging="357"/>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63374E6"/>
    <w:multiLevelType w:val="hybridMultilevel"/>
    <w:tmpl w:val="DD522106"/>
    <w:lvl w:ilvl="0" w:tplc="2CD0C4B6">
      <w:start w:val="1"/>
      <w:numFmt w:val="bullet"/>
      <w:pStyle w:val="NoteBullet"/>
      <w:lvlText w:val=""/>
      <w:lvlJc w:val="left"/>
      <w:pPr>
        <w:tabs>
          <w:tab w:val="num" w:pos="1281"/>
        </w:tabs>
        <w:ind w:left="1281" w:hanging="360"/>
      </w:pPr>
      <w:rPr>
        <w:rFonts w:ascii="Symbol" w:hAnsi="Symbol" w:hint="default"/>
      </w:rPr>
    </w:lvl>
    <w:lvl w:ilvl="1" w:tplc="00030409" w:tentative="1">
      <w:start w:val="1"/>
      <w:numFmt w:val="bullet"/>
      <w:lvlText w:val="o"/>
      <w:lvlJc w:val="left"/>
      <w:pPr>
        <w:tabs>
          <w:tab w:val="num" w:pos="2001"/>
        </w:tabs>
        <w:ind w:left="2001" w:hanging="360"/>
      </w:pPr>
      <w:rPr>
        <w:rFonts w:ascii="Courier New" w:hAnsi="Courier New" w:hint="default"/>
      </w:rPr>
    </w:lvl>
    <w:lvl w:ilvl="2" w:tplc="00050409" w:tentative="1">
      <w:start w:val="1"/>
      <w:numFmt w:val="bullet"/>
      <w:lvlText w:val=""/>
      <w:lvlJc w:val="left"/>
      <w:pPr>
        <w:tabs>
          <w:tab w:val="num" w:pos="2721"/>
        </w:tabs>
        <w:ind w:left="2721" w:hanging="360"/>
      </w:pPr>
      <w:rPr>
        <w:rFonts w:ascii="Wingdings" w:hAnsi="Wingdings" w:hint="default"/>
      </w:rPr>
    </w:lvl>
    <w:lvl w:ilvl="3" w:tplc="00010409" w:tentative="1">
      <w:start w:val="1"/>
      <w:numFmt w:val="bullet"/>
      <w:lvlText w:val=""/>
      <w:lvlJc w:val="left"/>
      <w:pPr>
        <w:tabs>
          <w:tab w:val="num" w:pos="3441"/>
        </w:tabs>
        <w:ind w:left="3441" w:hanging="360"/>
      </w:pPr>
      <w:rPr>
        <w:rFonts w:ascii="Symbol" w:hAnsi="Symbol" w:hint="default"/>
      </w:rPr>
    </w:lvl>
    <w:lvl w:ilvl="4" w:tplc="00030409" w:tentative="1">
      <w:start w:val="1"/>
      <w:numFmt w:val="bullet"/>
      <w:lvlText w:val="o"/>
      <w:lvlJc w:val="left"/>
      <w:pPr>
        <w:tabs>
          <w:tab w:val="num" w:pos="4161"/>
        </w:tabs>
        <w:ind w:left="4161" w:hanging="360"/>
      </w:pPr>
      <w:rPr>
        <w:rFonts w:ascii="Courier New" w:hAnsi="Courier New" w:hint="default"/>
      </w:rPr>
    </w:lvl>
    <w:lvl w:ilvl="5" w:tplc="00050409" w:tentative="1">
      <w:start w:val="1"/>
      <w:numFmt w:val="bullet"/>
      <w:lvlText w:val=""/>
      <w:lvlJc w:val="left"/>
      <w:pPr>
        <w:tabs>
          <w:tab w:val="num" w:pos="4881"/>
        </w:tabs>
        <w:ind w:left="4881" w:hanging="360"/>
      </w:pPr>
      <w:rPr>
        <w:rFonts w:ascii="Wingdings" w:hAnsi="Wingdings" w:hint="default"/>
      </w:rPr>
    </w:lvl>
    <w:lvl w:ilvl="6" w:tplc="00010409" w:tentative="1">
      <w:start w:val="1"/>
      <w:numFmt w:val="bullet"/>
      <w:lvlText w:val=""/>
      <w:lvlJc w:val="left"/>
      <w:pPr>
        <w:tabs>
          <w:tab w:val="num" w:pos="5601"/>
        </w:tabs>
        <w:ind w:left="5601" w:hanging="360"/>
      </w:pPr>
      <w:rPr>
        <w:rFonts w:ascii="Symbol" w:hAnsi="Symbol" w:hint="default"/>
      </w:rPr>
    </w:lvl>
    <w:lvl w:ilvl="7" w:tplc="00030409" w:tentative="1">
      <w:start w:val="1"/>
      <w:numFmt w:val="bullet"/>
      <w:lvlText w:val="o"/>
      <w:lvlJc w:val="left"/>
      <w:pPr>
        <w:tabs>
          <w:tab w:val="num" w:pos="6321"/>
        </w:tabs>
        <w:ind w:left="6321" w:hanging="360"/>
      </w:pPr>
      <w:rPr>
        <w:rFonts w:ascii="Courier New" w:hAnsi="Courier New" w:hint="default"/>
      </w:rPr>
    </w:lvl>
    <w:lvl w:ilvl="8" w:tplc="00050409" w:tentative="1">
      <w:start w:val="1"/>
      <w:numFmt w:val="bullet"/>
      <w:lvlText w:val=""/>
      <w:lvlJc w:val="left"/>
      <w:pPr>
        <w:tabs>
          <w:tab w:val="num" w:pos="7041"/>
        </w:tabs>
        <w:ind w:left="7041" w:hanging="360"/>
      </w:pPr>
      <w:rPr>
        <w:rFonts w:ascii="Wingdings" w:hAnsi="Wingdings" w:hint="default"/>
      </w:rPr>
    </w:lvl>
  </w:abstractNum>
  <w:abstractNum w:abstractNumId="26" w15:restartNumberingAfterBreak="0">
    <w:nsid w:val="397501F1"/>
    <w:multiLevelType w:val="multilevel"/>
    <w:tmpl w:val="88C6BD84"/>
    <w:lvl w:ilvl="0">
      <w:start w:val="1"/>
      <w:numFmt w:val="decimal"/>
      <w:lvlText w:val="%1"/>
      <w:lvlJc w:val="left"/>
      <w:pPr>
        <w:ind w:left="-867" w:firstLine="158"/>
      </w:pPr>
      <w:rPr>
        <w:rFonts w:ascii="Century Gothic" w:hAnsi="Century Gothic" w:hint="default"/>
        <w:b w:val="0"/>
        <w:bCs w:val="0"/>
        <w:i w:val="0"/>
        <w:iCs w:val="0"/>
        <w:color w:val="595959" w:themeColor="text1" w:themeTint="A6"/>
        <w:sz w:val="20"/>
        <w:szCs w:val="20"/>
      </w:rPr>
    </w:lvl>
    <w:lvl w:ilvl="1">
      <w:start w:val="1"/>
      <w:numFmt w:val="decimal"/>
      <w:lvlText w:val="%1.%2"/>
      <w:lvlJc w:val="right"/>
      <w:pPr>
        <w:ind w:left="-720" w:firstLine="142"/>
      </w:pPr>
      <w:rPr>
        <w:rFonts w:ascii="Century Gothic" w:hAnsi="Century Gothic" w:hint="default"/>
        <w:b w:val="0"/>
        <w:bCs w:val="0"/>
        <w:i w:val="0"/>
        <w:iCs w:val="0"/>
        <w:color w:val="595959" w:themeColor="text1" w:themeTint="A6"/>
        <w:sz w:val="20"/>
        <w:szCs w:val="20"/>
      </w:rPr>
    </w:lvl>
    <w:lvl w:ilvl="2">
      <w:start w:val="1"/>
      <w:numFmt w:val="decimal"/>
      <w:lvlText w:val="%1.%2.%3"/>
      <w:lvlJc w:val="left"/>
      <w:pPr>
        <w:ind w:left="-578" w:hanging="131"/>
      </w:pPr>
      <w:rPr>
        <w:rFonts w:ascii="Century Gothic" w:hAnsi="Century Gothic" w:hint="default"/>
        <w:b w:val="0"/>
        <w:bCs w:val="0"/>
        <w:i w:val="0"/>
        <w:iCs w:val="0"/>
        <w:color w:val="595959" w:themeColor="text1" w:themeTint="A6"/>
        <w:sz w:val="20"/>
        <w:szCs w:val="20"/>
      </w:rPr>
    </w:lvl>
    <w:lvl w:ilvl="3">
      <w:start w:val="1"/>
      <w:numFmt w:val="decimal"/>
      <w:lvlText w:val="%1.%2.%3.%4"/>
      <w:lvlJc w:val="left"/>
      <w:pPr>
        <w:ind w:left="-578" w:hanging="131"/>
      </w:pPr>
      <w:rPr>
        <w:rFonts w:ascii="Century Gothic" w:hAnsi="Century Gothic" w:hint="default"/>
        <w:b w:val="0"/>
        <w:bCs w:val="0"/>
        <w:i w:val="0"/>
        <w:iCs w:val="0"/>
        <w:color w:val="595959" w:themeColor="text1" w:themeTint="A6"/>
        <w:sz w:val="20"/>
        <w:szCs w:val="20"/>
      </w:rPr>
    </w:lvl>
    <w:lvl w:ilvl="4">
      <w:start w:val="1"/>
      <w:numFmt w:val="decimal"/>
      <w:lvlText w:val="%1.%2.%3.%4.%5"/>
      <w:lvlJc w:val="left"/>
      <w:pPr>
        <w:ind w:left="719" w:hanging="1008"/>
      </w:pPr>
      <w:rPr>
        <w:rFonts w:hint="default"/>
      </w:rPr>
    </w:lvl>
    <w:lvl w:ilvl="5">
      <w:start w:val="1"/>
      <w:numFmt w:val="decimal"/>
      <w:lvlText w:val="%1.%2.%3.%4.%5.%6"/>
      <w:lvlJc w:val="left"/>
      <w:pPr>
        <w:ind w:left="863" w:hanging="1152"/>
      </w:pPr>
      <w:rPr>
        <w:rFonts w:hint="default"/>
      </w:rPr>
    </w:lvl>
    <w:lvl w:ilvl="6">
      <w:start w:val="1"/>
      <w:numFmt w:val="decimal"/>
      <w:lvlText w:val="%1.%2.%3.%4.%5.%6.%7"/>
      <w:lvlJc w:val="left"/>
      <w:pPr>
        <w:ind w:left="1007" w:hanging="1296"/>
      </w:pPr>
      <w:rPr>
        <w:rFonts w:hint="default"/>
      </w:rPr>
    </w:lvl>
    <w:lvl w:ilvl="7">
      <w:start w:val="1"/>
      <w:numFmt w:val="decimal"/>
      <w:lvlText w:val="%1.%2.%3.%4.%5.%6.%7.%8"/>
      <w:lvlJc w:val="left"/>
      <w:pPr>
        <w:ind w:left="1151" w:hanging="1440"/>
      </w:pPr>
      <w:rPr>
        <w:rFonts w:hint="default"/>
      </w:rPr>
    </w:lvl>
    <w:lvl w:ilvl="8">
      <w:start w:val="1"/>
      <w:numFmt w:val="decimal"/>
      <w:lvlText w:val="%1.%2.%3.%4.%5.%6.%7.%8.%9"/>
      <w:lvlJc w:val="left"/>
      <w:pPr>
        <w:ind w:left="1295" w:hanging="1584"/>
      </w:pPr>
      <w:rPr>
        <w:rFonts w:hint="default"/>
      </w:rPr>
    </w:lvl>
  </w:abstractNum>
  <w:abstractNum w:abstractNumId="27" w15:restartNumberingAfterBreak="0">
    <w:nsid w:val="419833AD"/>
    <w:multiLevelType w:val="multilevel"/>
    <w:tmpl w:val="47EE0A9E"/>
    <w:lvl w:ilvl="0">
      <w:start w:val="1"/>
      <w:numFmt w:val="decimal"/>
      <w:lvlText w:val="%1"/>
      <w:lvlJc w:val="left"/>
      <w:pPr>
        <w:ind w:left="-867" w:firstLine="158"/>
      </w:pPr>
      <w:rPr>
        <w:rFonts w:ascii="Century Gothic" w:hAnsi="Century Gothic" w:hint="default"/>
        <w:b w:val="0"/>
        <w:bCs w:val="0"/>
        <w:i w:val="0"/>
        <w:iCs w:val="0"/>
        <w:color w:val="595959" w:themeColor="text1" w:themeTint="A6"/>
        <w:sz w:val="18"/>
        <w:szCs w:val="18"/>
      </w:rPr>
    </w:lvl>
    <w:lvl w:ilvl="1">
      <w:start w:val="1"/>
      <w:numFmt w:val="decimal"/>
      <w:lvlText w:val="%1.%2"/>
      <w:lvlJc w:val="left"/>
      <w:pPr>
        <w:ind w:left="-720" w:firstLine="11"/>
      </w:pPr>
      <w:rPr>
        <w:rFonts w:ascii="Century Gothic" w:hAnsi="Century Gothic" w:hint="default"/>
        <w:b w:val="0"/>
        <w:bCs w:val="0"/>
        <w:i w:val="0"/>
        <w:iCs w:val="0"/>
        <w:color w:val="595959" w:themeColor="text1" w:themeTint="A6"/>
        <w:sz w:val="20"/>
        <w:szCs w:val="20"/>
      </w:rPr>
    </w:lvl>
    <w:lvl w:ilvl="2">
      <w:start w:val="1"/>
      <w:numFmt w:val="decimal"/>
      <w:lvlText w:val="%1.%2.%3"/>
      <w:lvlJc w:val="left"/>
      <w:pPr>
        <w:ind w:left="-578" w:hanging="131"/>
      </w:pPr>
      <w:rPr>
        <w:rFonts w:ascii="Century Gothic" w:hAnsi="Century Gothic" w:hint="default"/>
        <w:b w:val="0"/>
        <w:bCs w:val="0"/>
        <w:i w:val="0"/>
        <w:iCs w:val="0"/>
        <w:color w:val="595959" w:themeColor="text1" w:themeTint="A6"/>
        <w:sz w:val="18"/>
        <w:szCs w:val="18"/>
      </w:rPr>
    </w:lvl>
    <w:lvl w:ilvl="3">
      <w:start w:val="1"/>
      <w:numFmt w:val="decimal"/>
      <w:lvlText w:val="%1.%2.%3.%4"/>
      <w:lvlJc w:val="left"/>
      <w:pPr>
        <w:ind w:left="-578" w:hanging="131"/>
      </w:pPr>
      <w:rPr>
        <w:rFonts w:ascii="Century Gothic" w:hAnsi="Century Gothic" w:hint="default"/>
        <w:b w:val="0"/>
        <w:bCs w:val="0"/>
        <w:i w:val="0"/>
        <w:iCs w:val="0"/>
        <w:color w:val="595959" w:themeColor="text1" w:themeTint="A6"/>
        <w:sz w:val="18"/>
        <w:szCs w:val="18"/>
      </w:rPr>
    </w:lvl>
    <w:lvl w:ilvl="4">
      <w:start w:val="1"/>
      <w:numFmt w:val="decimal"/>
      <w:lvlText w:val="%1.%2.%3.%4.%5"/>
      <w:lvlJc w:val="left"/>
      <w:pPr>
        <w:ind w:left="719" w:hanging="1008"/>
      </w:pPr>
      <w:rPr>
        <w:rFonts w:hint="default"/>
      </w:rPr>
    </w:lvl>
    <w:lvl w:ilvl="5">
      <w:start w:val="1"/>
      <w:numFmt w:val="decimal"/>
      <w:lvlText w:val="%1.%2.%3.%4.%5.%6"/>
      <w:lvlJc w:val="left"/>
      <w:pPr>
        <w:ind w:left="863" w:hanging="1152"/>
      </w:pPr>
      <w:rPr>
        <w:rFonts w:hint="default"/>
      </w:rPr>
    </w:lvl>
    <w:lvl w:ilvl="6">
      <w:start w:val="1"/>
      <w:numFmt w:val="decimal"/>
      <w:lvlText w:val="%1.%2.%3.%4.%5.%6.%7"/>
      <w:lvlJc w:val="left"/>
      <w:pPr>
        <w:ind w:left="1007" w:hanging="1296"/>
      </w:pPr>
      <w:rPr>
        <w:rFonts w:hint="default"/>
      </w:rPr>
    </w:lvl>
    <w:lvl w:ilvl="7">
      <w:start w:val="1"/>
      <w:numFmt w:val="decimal"/>
      <w:lvlText w:val="%1.%2.%3.%4.%5.%6.%7.%8"/>
      <w:lvlJc w:val="left"/>
      <w:pPr>
        <w:ind w:left="1151" w:hanging="1440"/>
      </w:pPr>
      <w:rPr>
        <w:rFonts w:hint="default"/>
      </w:rPr>
    </w:lvl>
    <w:lvl w:ilvl="8">
      <w:start w:val="1"/>
      <w:numFmt w:val="decimal"/>
      <w:lvlText w:val="%1.%2.%3.%4.%5.%6.%7.%8.%9"/>
      <w:lvlJc w:val="left"/>
      <w:pPr>
        <w:ind w:left="1295" w:hanging="1584"/>
      </w:pPr>
      <w:rPr>
        <w:rFonts w:hint="default"/>
      </w:rPr>
    </w:lvl>
  </w:abstractNum>
  <w:abstractNum w:abstractNumId="28" w15:restartNumberingAfterBreak="0">
    <w:nsid w:val="43BB2D91"/>
    <w:multiLevelType w:val="singleLevel"/>
    <w:tmpl w:val="0809000F"/>
    <w:lvl w:ilvl="0">
      <w:start w:val="1"/>
      <w:numFmt w:val="decimal"/>
      <w:lvlText w:val="%1."/>
      <w:lvlJc w:val="left"/>
      <w:pPr>
        <w:tabs>
          <w:tab w:val="num" w:pos="360"/>
        </w:tabs>
        <w:ind w:left="360" w:hanging="360"/>
      </w:pPr>
    </w:lvl>
  </w:abstractNum>
  <w:abstractNum w:abstractNumId="29" w15:restartNumberingAfterBreak="0">
    <w:nsid w:val="59253872"/>
    <w:multiLevelType w:val="multilevel"/>
    <w:tmpl w:val="9CACFB6A"/>
    <w:lvl w:ilvl="0">
      <w:start w:val="1"/>
      <w:numFmt w:val="bullet"/>
      <w:lvlText w:val="o"/>
      <w:lvlJc w:val="left"/>
      <w:pPr>
        <w:ind w:left="1281" w:hanging="360"/>
      </w:pPr>
      <w:rPr>
        <w:rFonts w:ascii="Courier New" w:hAnsi="Courier New" w:hint="default"/>
      </w:rPr>
    </w:lvl>
    <w:lvl w:ilvl="1">
      <w:start w:val="1"/>
      <w:numFmt w:val="bullet"/>
      <w:lvlText w:val="o"/>
      <w:lvlJc w:val="left"/>
      <w:pPr>
        <w:ind w:left="2001" w:hanging="360"/>
      </w:pPr>
      <w:rPr>
        <w:rFonts w:ascii="Courier New" w:hAnsi="Courier New" w:hint="default"/>
      </w:rPr>
    </w:lvl>
    <w:lvl w:ilvl="2">
      <w:start w:val="1"/>
      <w:numFmt w:val="bullet"/>
      <w:lvlText w:val=""/>
      <w:lvlJc w:val="left"/>
      <w:pPr>
        <w:ind w:left="2721" w:hanging="360"/>
      </w:pPr>
      <w:rPr>
        <w:rFonts w:ascii="Wingdings" w:hAnsi="Wingdings" w:hint="default"/>
      </w:rPr>
    </w:lvl>
    <w:lvl w:ilvl="3">
      <w:start w:val="1"/>
      <w:numFmt w:val="bullet"/>
      <w:lvlText w:val=""/>
      <w:lvlJc w:val="left"/>
      <w:pPr>
        <w:ind w:left="3441" w:hanging="360"/>
      </w:pPr>
      <w:rPr>
        <w:rFonts w:ascii="Symbol" w:hAnsi="Symbol" w:hint="default"/>
      </w:rPr>
    </w:lvl>
    <w:lvl w:ilvl="4">
      <w:start w:val="1"/>
      <w:numFmt w:val="bullet"/>
      <w:lvlText w:val="o"/>
      <w:lvlJc w:val="left"/>
      <w:pPr>
        <w:ind w:left="4161" w:hanging="360"/>
      </w:pPr>
      <w:rPr>
        <w:rFonts w:ascii="Courier New" w:hAnsi="Courier New" w:hint="default"/>
      </w:rPr>
    </w:lvl>
    <w:lvl w:ilvl="5">
      <w:start w:val="1"/>
      <w:numFmt w:val="bullet"/>
      <w:lvlText w:val=""/>
      <w:lvlJc w:val="left"/>
      <w:pPr>
        <w:ind w:left="4881" w:hanging="360"/>
      </w:pPr>
      <w:rPr>
        <w:rFonts w:ascii="Wingdings" w:hAnsi="Wingdings" w:hint="default"/>
      </w:rPr>
    </w:lvl>
    <w:lvl w:ilvl="6">
      <w:start w:val="1"/>
      <w:numFmt w:val="bullet"/>
      <w:lvlText w:val=""/>
      <w:lvlJc w:val="left"/>
      <w:pPr>
        <w:ind w:left="5601" w:hanging="360"/>
      </w:pPr>
      <w:rPr>
        <w:rFonts w:ascii="Symbol" w:hAnsi="Symbol" w:hint="default"/>
      </w:rPr>
    </w:lvl>
    <w:lvl w:ilvl="7">
      <w:start w:val="1"/>
      <w:numFmt w:val="bullet"/>
      <w:lvlText w:val="o"/>
      <w:lvlJc w:val="left"/>
      <w:pPr>
        <w:ind w:left="6321" w:hanging="360"/>
      </w:pPr>
      <w:rPr>
        <w:rFonts w:ascii="Courier New" w:hAnsi="Courier New" w:hint="default"/>
      </w:rPr>
    </w:lvl>
    <w:lvl w:ilvl="8">
      <w:start w:val="1"/>
      <w:numFmt w:val="bullet"/>
      <w:lvlText w:val=""/>
      <w:lvlJc w:val="left"/>
      <w:pPr>
        <w:ind w:left="7041" w:hanging="360"/>
      </w:pPr>
      <w:rPr>
        <w:rFonts w:ascii="Wingdings" w:hAnsi="Wingdings" w:hint="default"/>
      </w:rPr>
    </w:lvl>
  </w:abstractNum>
  <w:abstractNum w:abstractNumId="30" w15:restartNumberingAfterBreak="0">
    <w:nsid w:val="5A0D70F1"/>
    <w:multiLevelType w:val="multilevel"/>
    <w:tmpl w:val="DA50CEA2"/>
    <w:lvl w:ilvl="0">
      <w:start w:val="1"/>
      <w:numFmt w:val="bullet"/>
      <w:lvlText w:val=""/>
      <w:lvlJc w:val="left"/>
      <w:pPr>
        <w:tabs>
          <w:tab w:val="num" w:pos="1108"/>
        </w:tabs>
        <w:ind w:left="935" w:hanging="187"/>
      </w:pPr>
      <w:rPr>
        <w:rFonts w:ascii="Symbol" w:hAnsi="Symbol" w:hint="default"/>
      </w:rPr>
    </w:lvl>
    <w:lvl w:ilvl="1">
      <w:start w:val="1"/>
      <w:numFmt w:val="bullet"/>
      <w:lvlText w:val="o"/>
      <w:lvlJc w:val="left"/>
      <w:pPr>
        <w:ind w:left="1814" w:hanging="360"/>
      </w:pPr>
      <w:rPr>
        <w:rFonts w:ascii="Courier New" w:hAnsi="Courier New" w:hint="default"/>
      </w:rPr>
    </w:lvl>
    <w:lvl w:ilvl="2">
      <w:start w:val="1"/>
      <w:numFmt w:val="bullet"/>
      <w:lvlText w:val=""/>
      <w:lvlJc w:val="left"/>
      <w:pPr>
        <w:ind w:left="2534" w:hanging="360"/>
      </w:pPr>
      <w:rPr>
        <w:rFonts w:ascii="Wingdings" w:hAnsi="Wingdings" w:hint="default"/>
      </w:rPr>
    </w:lvl>
    <w:lvl w:ilvl="3">
      <w:start w:val="1"/>
      <w:numFmt w:val="bullet"/>
      <w:lvlText w:val=""/>
      <w:lvlJc w:val="left"/>
      <w:pPr>
        <w:ind w:left="3254" w:hanging="360"/>
      </w:pPr>
      <w:rPr>
        <w:rFonts w:ascii="Symbol" w:hAnsi="Symbol" w:hint="default"/>
      </w:rPr>
    </w:lvl>
    <w:lvl w:ilvl="4">
      <w:start w:val="1"/>
      <w:numFmt w:val="bullet"/>
      <w:lvlText w:val="o"/>
      <w:lvlJc w:val="left"/>
      <w:pPr>
        <w:ind w:left="3974" w:hanging="360"/>
      </w:pPr>
      <w:rPr>
        <w:rFonts w:ascii="Courier New" w:hAnsi="Courier New" w:hint="default"/>
      </w:rPr>
    </w:lvl>
    <w:lvl w:ilvl="5">
      <w:start w:val="1"/>
      <w:numFmt w:val="bullet"/>
      <w:lvlText w:val=""/>
      <w:lvlJc w:val="left"/>
      <w:pPr>
        <w:ind w:left="4694" w:hanging="360"/>
      </w:pPr>
      <w:rPr>
        <w:rFonts w:ascii="Wingdings" w:hAnsi="Wingdings" w:hint="default"/>
      </w:rPr>
    </w:lvl>
    <w:lvl w:ilvl="6">
      <w:start w:val="1"/>
      <w:numFmt w:val="bullet"/>
      <w:lvlText w:val=""/>
      <w:lvlJc w:val="left"/>
      <w:pPr>
        <w:ind w:left="5414" w:hanging="360"/>
      </w:pPr>
      <w:rPr>
        <w:rFonts w:ascii="Symbol" w:hAnsi="Symbol" w:hint="default"/>
      </w:rPr>
    </w:lvl>
    <w:lvl w:ilvl="7">
      <w:start w:val="1"/>
      <w:numFmt w:val="bullet"/>
      <w:lvlText w:val="o"/>
      <w:lvlJc w:val="left"/>
      <w:pPr>
        <w:ind w:left="6134" w:hanging="360"/>
      </w:pPr>
      <w:rPr>
        <w:rFonts w:ascii="Courier New" w:hAnsi="Courier New" w:hint="default"/>
      </w:rPr>
    </w:lvl>
    <w:lvl w:ilvl="8">
      <w:start w:val="1"/>
      <w:numFmt w:val="bullet"/>
      <w:lvlText w:val=""/>
      <w:lvlJc w:val="left"/>
      <w:pPr>
        <w:ind w:left="6854" w:hanging="360"/>
      </w:pPr>
      <w:rPr>
        <w:rFonts w:ascii="Wingdings" w:hAnsi="Wingdings" w:hint="default"/>
      </w:rPr>
    </w:lvl>
  </w:abstractNum>
  <w:abstractNum w:abstractNumId="31" w15:restartNumberingAfterBreak="0">
    <w:nsid w:val="671D0852"/>
    <w:multiLevelType w:val="hybridMultilevel"/>
    <w:tmpl w:val="ED2E978C"/>
    <w:lvl w:ilvl="0" w:tplc="5BA070C6">
      <w:start w:val="1"/>
      <w:numFmt w:val="bullet"/>
      <w:pStyle w:val="BulletIndent1forTable"/>
      <w:lvlText w:val=""/>
      <w:lvlJc w:val="left"/>
      <w:pPr>
        <w:ind w:left="547" w:hanging="360"/>
      </w:pPr>
      <w:rPr>
        <w:rFonts w:ascii="Symbol" w:hAnsi="Symbol" w:hint="default"/>
      </w:rPr>
    </w:lvl>
    <w:lvl w:ilvl="1" w:tplc="04090003" w:tentative="1">
      <w:start w:val="1"/>
      <w:numFmt w:val="bullet"/>
      <w:lvlText w:val="o"/>
      <w:lvlJc w:val="left"/>
      <w:pPr>
        <w:ind w:left="1814" w:hanging="360"/>
      </w:pPr>
      <w:rPr>
        <w:rFonts w:ascii="Courier New" w:hAnsi="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32" w15:restartNumberingAfterBreak="0">
    <w:nsid w:val="68A977AF"/>
    <w:multiLevelType w:val="hybridMultilevel"/>
    <w:tmpl w:val="A2426C5C"/>
    <w:lvl w:ilvl="0" w:tplc="797C3056">
      <w:start w:val="1"/>
      <w:numFmt w:val="decimal"/>
      <w:lvlText w:val="%1."/>
      <w:lvlJc w:val="left"/>
      <w:pPr>
        <w:ind w:left="720" w:hanging="15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936B85"/>
    <w:multiLevelType w:val="singleLevel"/>
    <w:tmpl w:val="4A389678"/>
    <w:lvl w:ilvl="0">
      <w:start w:val="1"/>
      <w:numFmt w:val="bullet"/>
      <w:pStyle w:val="ChecklistItem"/>
      <w:lvlText w:val=""/>
      <w:lvlJc w:val="left"/>
      <w:pPr>
        <w:tabs>
          <w:tab w:val="num" w:pos="360"/>
        </w:tabs>
        <w:ind w:left="360" w:hanging="360"/>
      </w:pPr>
      <w:rPr>
        <w:rFonts w:ascii="Wingdings" w:hAnsi="Wingdings" w:hint="default"/>
        <w:sz w:val="20"/>
      </w:rPr>
    </w:lvl>
  </w:abstractNum>
  <w:abstractNum w:abstractNumId="34" w15:restartNumberingAfterBreak="0">
    <w:nsid w:val="6E086E65"/>
    <w:multiLevelType w:val="multilevel"/>
    <w:tmpl w:val="2F88CB52"/>
    <w:lvl w:ilvl="0">
      <w:start w:val="1"/>
      <w:numFmt w:val="decimal"/>
      <w:lvlText w:val="%1"/>
      <w:lvlJc w:val="left"/>
      <w:pPr>
        <w:ind w:left="-867" w:firstLine="158"/>
      </w:pPr>
      <w:rPr>
        <w:rFonts w:ascii="Century Gothic" w:hAnsi="Century Gothic" w:hint="default"/>
        <w:b w:val="0"/>
        <w:bCs w:val="0"/>
        <w:i w:val="0"/>
        <w:iCs w:val="0"/>
        <w:color w:val="595959" w:themeColor="text1" w:themeTint="A6"/>
        <w:sz w:val="18"/>
        <w:szCs w:val="18"/>
      </w:rPr>
    </w:lvl>
    <w:lvl w:ilvl="1">
      <w:start w:val="1"/>
      <w:numFmt w:val="decimal"/>
      <w:lvlText w:val="%1.%2"/>
      <w:lvlJc w:val="left"/>
      <w:pPr>
        <w:ind w:left="-720" w:firstLine="11"/>
      </w:pPr>
      <w:rPr>
        <w:rFonts w:ascii="Century Gothic" w:hAnsi="Century Gothic" w:hint="default"/>
        <w:b w:val="0"/>
        <w:bCs w:val="0"/>
        <w:i w:val="0"/>
        <w:iCs w:val="0"/>
        <w:color w:val="595959" w:themeColor="text1" w:themeTint="A6"/>
        <w:sz w:val="20"/>
        <w:szCs w:val="20"/>
      </w:rPr>
    </w:lvl>
    <w:lvl w:ilvl="2">
      <w:start w:val="1"/>
      <w:numFmt w:val="decimal"/>
      <w:lvlText w:val="%1.%2.%3"/>
      <w:lvlJc w:val="left"/>
      <w:pPr>
        <w:ind w:left="-578" w:hanging="131"/>
      </w:pPr>
      <w:rPr>
        <w:rFonts w:ascii="Century Gothic" w:hAnsi="Century Gothic" w:hint="default"/>
        <w:b w:val="0"/>
        <w:bCs w:val="0"/>
        <w:i w:val="0"/>
        <w:iCs w:val="0"/>
        <w:color w:val="595959" w:themeColor="text1" w:themeTint="A6"/>
        <w:sz w:val="20"/>
        <w:szCs w:val="20"/>
      </w:rPr>
    </w:lvl>
    <w:lvl w:ilvl="3">
      <w:start w:val="1"/>
      <w:numFmt w:val="decimal"/>
      <w:lvlText w:val="%1.%2.%3.%4"/>
      <w:lvlJc w:val="left"/>
      <w:pPr>
        <w:ind w:left="-578" w:hanging="131"/>
      </w:pPr>
      <w:rPr>
        <w:rFonts w:ascii="Century Gothic" w:hAnsi="Century Gothic" w:hint="default"/>
        <w:b w:val="0"/>
        <w:bCs w:val="0"/>
        <w:i w:val="0"/>
        <w:iCs w:val="0"/>
        <w:color w:val="595959" w:themeColor="text1" w:themeTint="A6"/>
        <w:sz w:val="20"/>
        <w:szCs w:val="20"/>
      </w:rPr>
    </w:lvl>
    <w:lvl w:ilvl="4">
      <w:start w:val="1"/>
      <w:numFmt w:val="decimal"/>
      <w:lvlText w:val="%1.%2.%3.%4.%5"/>
      <w:lvlJc w:val="left"/>
      <w:pPr>
        <w:ind w:left="719" w:hanging="1008"/>
      </w:pPr>
      <w:rPr>
        <w:rFonts w:hint="default"/>
      </w:rPr>
    </w:lvl>
    <w:lvl w:ilvl="5">
      <w:start w:val="1"/>
      <w:numFmt w:val="decimal"/>
      <w:lvlText w:val="%1.%2.%3.%4.%5.%6"/>
      <w:lvlJc w:val="left"/>
      <w:pPr>
        <w:ind w:left="863" w:hanging="1152"/>
      </w:pPr>
      <w:rPr>
        <w:rFonts w:hint="default"/>
      </w:rPr>
    </w:lvl>
    <w:lvl w:ilvl="6">
      <w:start w:val="1"/>
      <w:numFmt w:val="decimal"/>
      <w:lvlText w:val="%1.%2.%3.%4.%5.%6.%7"/>
      <w:lvlJc w:val="left"/>
      <w:pPr>
        <w:ind w:left="1007" w:hanging="1296"/>
      </w:pPr>
      <w:rPr>
        <w:rFonts w:hint="default"/>
      </w:rPr>
    </w:lvl>
    <w:lvl w:ilvl="7">
      <w:start w:val="1"/>
      <w:numFmt w:val="decimal"/>
      <w:lvlText w:val="%1.%2.%3.%4.%5.%6.%7.%8"/>
      <w:lvlJc w:val="left"/>
      <w:pPr>
        <w:ind w:left="1151" w:hanging="1440"/>
      </w:pPr>
      <w:rPr>
        <w:rFonts w:hint="default"/>
      </w:rPr>
    </w:lvl>
    <w:lvl w:ilvl="8">
      <w:start w:val="1"/>
      <w:numFmt w:val="decimal"/>
      <w:lvlText w:val="%1.%2.%3.%4.%5.%6.%7.%8.%9"/>
      <w:lvlJc w:val="left"/>
      <w:pPr>
        <w:ind w:left="1295" w:hanging="1584"/>
      </w:pPr>
      <w:rPr>
        <w:rFonts w:hint="default"/>
      </w:rPr>
    </w:lvl>
  </w:abstractNum>
  <w:abstractNum w:abstractNumId="35" w15:restartNumberingAfterBreak="0">
    <w:nsid w:val="75F16345"/>
    <w:multiLevelType w:val="hybridMultilevel"/>
    <w:tmpl w:val="57C6C360"/>
    <w:lvl w:ilvl="0" w:tplc="28602F9C">
      <w:start w:val="1"/>
      <w:numFmt w:val="bullet"/>
      <w:pStyle w:val="BulletIndent2"/>
      <w:lvlText w:val=""/>
      <w:lvlJc w:val="left"/>
      <w:pPr>
        <w:tabs>
          <w:tab w:val="num" w:pos="1295"/>
        </w:tabs>
        <w:ind w:left="1122" w:hanging="187"/>
      </w:pPr>
      <w:rPr>
        <w:rFonts w:ascii="Symbol" w:hAnsi="Symbol" w:hint="default"/>
      </w:rPr>
    </w:lvl>
    <w:lvl w:ilvl="1" w:tplc="04090003" w:tentative="1">
      <w:start w:val="1"/>
      <w:numFmt w:val="bullet"/>
      <w:lvlText w:val="o"/>
      <w:lvlJc w:val="left"/>
      <w:pPr>
        <w:ind w:left="2001" w:hanging="360"/>
      </w:pPr>
      <w:rPr>
        <w:rFonts w:ascii="Courier New" w:hAnsi="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36" w15:restartNumberingAfterBreak="0">
    <w:nsid w:val="76B3748F"/>
    <w:multiLevelType w:val="multilevel"/>
    <w:tmpl w:val="564E423E"/>
    <w:lvl w:ilvl="0">
      <w:start w:val="1"/>
      <w:numFmt w:val="decimal"/>
      <w:pStyle w:val="Heading1"/>
      <w:lvlText w:val="%1"/>
      <w:lvlJc w:val="left"/>
      <w:pPr>
        <w:ind w:left="-867" w:firstLine="158"/>
      </w:pPr>
      <w:rPr>
        <w:rFonts w:ascii="Century Gothic" w:hAnsi="Century Gothic" w:hint="default"/>
        <w:b w:val="0"/>
        <w:bCs w:val="0"/>
        <w:i w:val="0"/>
        <w:iCs w:val="0"/>
        <w:color w:val="595959" w:themeColor="text1" w:themeTint="A6"/>
        <w:sz w:val="18"/>
        <w:szCs w:val="18"/>
      </w:rPr>
    </w:lvl>
    <w:lvl w:ilvl="1">
      <w:start w:val="1"/>
      <w:numFmt w:val="decimal"/>
      <w:pStyle w:val="Heading2"/>
      <w:lvlText w:val="%1.%2"/>
      <w:lvlJc w:val="left"/>
      <w:pPr>
        <w:ind w:left="-720" w:firstLine="11"/>
      </w:pPr>
      <w:rPr>
        <w:rFonts w:ascii="Century Gothic" w:hAnsi="Century Gothic" w:hint="default"/>
        <w:b w:val="0"/>
        <w:bCs w:val="0"/>
        <w:i w:val="0"/>
        <w:iCs w:val="0"/>
        <w:color w:val="595959" w:themeColor="text1" w:themeTint="A6"/>
        <w:sz w:val="18"/>
        <w:szCs w:val="18"/>
      </w:rPr>
    </w:lvl>
    <w:lvl w:ilvl="2">
      <w:start w:val="1"/>
      <w:numFmt w:val="decimal"/>
      <w:pStyle w:val="Heading3"/>
      <w:lvlText w:val="%1.%2.%3"/>
      <w:lvlJc w:val="left"/>
      <w:pPr>
        <w:ind w:left="-578" w:hanging="131"/>
      </w:pPr>
      <w:rPr>
        <w:rFonts w:ascii="Century Gothic" w:hAnsi="Century Gothic" w:hint="default"/>
        <w:b w:val="0"/>
        <w:bCs w:val="0"/>
        <w:i w:val="0"/>
        <w:iCs w:val="0"/>
        <w:color w:val="595959" w:themeColor="text1" w:themeTint="A6"/>
        <w:sz w:val="18"/>
        <w:szCs w:val="18"/>
      </w:rPr>
    </w:lvl>
    <w:lvl w:ilvl="3">
      <w:start w:val="1"/>
      <w:numFmt w:val="decimal"/>
      <w:pStyle w:val="Heading4"/>
      <w:lvlText w:val="%1.%2.%3.%4"/>
      <w:lvlJc w:val="left"/>
      <w:pPr>
        <w:ind w:left="-578" w:hanging="131"/>
      </w:pPr>
      <w:rPr>
        <w:rFonts w:ascii="Century Gothic" w:hAnsi="Century Gothic" w:hint="default"/>
        <w:b w:val="0"/>
        <w:bCs w:val="0"/>
        <w:i w:val="0"/>
        <w:iCs w:val="0"/>
        <w:color w:val="595959" w:themeColor="text1" w:themeTint="A6"/>
        <w:sz w:val="18"/>
        <w:szCs w:val="18"/>
      </w:rPr>
    </w:lvl>
    <w:lvl w:ilvl="4">
      <w:start w:val="1"/>
      <w:numFmt w:val="decimal"/>
      <w:pStyle w:val="Heading5"/>
      <w:lvlText w:val="%1.%2.%3.%4.%5"/>
      <w:lvlJc w:val="left"/>
      <w:pPr>
        <w:ind w:left="719" w:hanging="1008"/>
      </w:pPr>
      <w:rPr>
        <w:rFonts w:hint="default"/>
      </w:rPr>
    </w:lvl>
    <w:lvl w:ilvl="5">
      <w:start w:val="1"/>
      <w:numFmt w:val="decimal"/>
      <w:pStyle w:val="Heading6"/>
      <w:lvlText w:val="%1.%2.%3.%4.%5.%6"/>
      <w:lvlJc w:val="left"/>
      <w:pPr>
        <w:ind w:left="863" w:hanging="1152"/>
      </w:pPr>
      <w:rPr>
        <w:rFonts w:hint="default"/>
      </w:rPr>
    </w:lvl>
    <w:lvl w:ilvl="6">
      <w:start w:val="1"/>
      <w:numFmt w:val="decimal"/>
      <w:pStyle w:val="Heading7"/>
      <w:lvlText w:val="%1.%2.%3.%4.%5.%6.%7"/>
      <w:lvlJc w:val="left"/>
      <w:pPr>
        <w:ind w:left="1007" w:hanging="1296"/>
      </w:pPr>
      <w:rPr>
        <w:rFonts w:hint="default"/>
      </w:rPr>
    </w:lvl>
    <w:lvl w:ilvl="7">
      <w:start w:val="1"/>
      <w:numFmt w:val="decimal"/>
      <w:pStyle w:val="Heading8"/>
      <w:lvlText w:val="%1.%2.%3.%4.%5.%6.%7.%8"/>
      <w:lvlJc w:val="left"/>
      <w:pPr>
        <w:ind w:left="1151" w:hanging="1440"/>
      </w:pPr>
      <w:rPr>
        <w:rFonts w:hint="default"/>
      </w:rPr>
    </w:lvl>
    <w:lvl w:ilvl="8">
      <w:start w:val="1"/>
      <w:numFmt w:val="decimal"/>
      <w:pStyle w:val="Heading9"/>
      <w:lvlText w:val="%1.%2.%3.%4.%5.%6.%7.%8.%9"/>
      <w:lvlJc w:val="left"/>
      <w:pPr>
        <w:ind w:left="1295" w:hanging="1584"/>
      </w:pPr>
      <w:rPr>
        <w:rFonts w:hint="default"/>
      </w:rPr>
    </w:lvl>
  </w:abstractNum>
  <w:abstractNum w:abstractNumId="37" w15:restartNumberingAfterBreak="0">
    <w:nsid w:val="79C83BA8"/>
    <w:multiLevelType w:val="hybridMultilevel"/>
    <w:tmpl w:val="1990249E"/>
    <w:lvl w:ilvl="0" w:tplc="526E9F3A">
      <w:start w:val="1"/>
      <w:numFmt w:val="bullet"/>
      <w:pStyle w:val="BulletIndent3"/>
      <w:lvlText w:val=""/>
      <w:lvlJc w:val="left"/>
      <w:pPr>
        <w:ind w:left="921" w:hanging="360"/>
      </w:pPr>
      <w:rPr>
        <w:rFonts w:ascii="Symbol" w:hAnsi="Symbol" w:hint="default"/>
      </w:rPr>
    </w:lvl>
    <w:lvl w:ilvl="1" w:tplc="04090003" w:tentative="1">
      <w:start w:val="1"/>
      <w:numFmt w:val="bullet"/>
      <w:lvlText w:val="o"/>
      <w:lvlJc w:val="left"/>
      <w:pPr>
        <w:ind w:left="2001" w:hanging="360"/>
      </w:pPr>
      <w:rPr>
        <w:rFonts w:ascii="Courier New" w:hAnsi="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38" w15:restartNumberingAfterBreak="0">
    <w:nsid w:val="7C2E4FFC"/>
    <w:multiLevelType w:val="singleLevel"/>
    <w:tmpl w:val="BDA29F7A"/>
    <w:lvl w:ilvl="0">
      <w:start w:val="1"/>
      <w:numFmt w:val="bullet"/>
      <w:pStyle w:val="BulletIndent0"/>
      <w:lvlText w:val=""/>
      <w:lvlJc w:val="left"/>
      <w:pPr>
        <w:tabs>
          <w:tab w:val="num" w:pos="360"/>
        </w:tabs>
        <w:ind w:left="187" w:hanging="187"/>
      </w:pPr>
      <w:rPr>
        <w:rFonts w:ascii="Symbol" w:hAnsi="Symbol" w:hint="default"/>
      </w:rPr>
    </w:lvl>
  </w:abstractNum>
  <w:abstractNum w:abstractNumId="39" w15:restartNumberingAfterBreak="0">
    <w:nsid w:val="7CF523D9"/>
    <w:multiLevelType w:val="multilevel"/>
    <w:tmpl w:val="DA50CEA2"/>
    <w:lvl w:ilvl="0">
      <w:start w:val="1"/>
      <w:numFmt w:val="bullet"/>
      <w:lvlText w:val=""/>
      <w:lvlJc w:val="left"/>
      <w:pPr>
        <w:tabs>
          <w:tab w:val="num" w:pos="1108"/>
        </w:tabs>
        <w:ind w:left="935" w:hanging="187"/>
      </w:pPr>
      <w:rPr>
        <w:rFonts w:ascii="Symbol" w:hAnsi="Symbol" w:hint="default"/>
      </w:rPr>
    </w:lvl>
    <w:lvl w:ilvl="1">
      <w:start w:val="1"/>
      <w:numFmt w:val="bullet"/>
      <w:lvlText w:val="o"/>
      <w:lvlJc w:val="left"/>
      <w:pPr>
        <w:ind w:left="1814" w:hanging="360"/>
      </w:pPr>
      <w:rPr>
        <w:rFonts w:ascii="Courier New" w:hAnsi="Courier New" w:hint="default"/>
      </w:rPr>
    </w:lvl>
    <w:lvl w:ilvl="2">
      <w:start w:val="1"/>
      <w:numFmt w:val="bullet"/>
      <w:lvlText w:val=""/>
      <w:lvlJc w:val="left"/>
      <w:pPr>
        <w:ind w:left="2534" w:hanging="360"/>
      </w:pPr>
      <w:rPr>
        <w:rFonts w:ascii="Wingdings" w:hAnsi="Wingdings" w:hint="default"/>
      </w:rPr>
    </w:lvl>
    <w:lvl w:ilvl="3">
      <w:start w:val="1"/>
      <w:numFmt w:val="bullet"/>
      <w:lvlText w:val=""/>
      <w:lvlJc w:val="left"/>
      <w:pPr>
        <w:ind w:left="3254" w:hanging="360"/>
      </w:pPr>
      <w:rPr>
        <w:rFonts w:ascii="Symbol" w:hAnsi="Symbol" w:hint="default"/>
      </w:rPr>
    </w:lvl>
    <w:lvl w:ilvl="4">
      <w:start w:val="1"/>
      <w:numFmt w:val="bullet"/>
      <w:lvlText w:val="o"/>
      <w:lvlJc w:val="left"/>
      <w:pPr>
        <w:ind w:left="3974" w:hanging="360"/>
      </w:pPr>
      <w:rPr>
        <w:rFonts w:ascii="Courier New" w:hAnsi="Courier New" w:hint="default"/>
      </w:rPr>
    </w:lvl>
    <w:lvl w:ilvl="5">
      <w:start w:val="1"/>
      <w:numFmt w:val="bullet"/>
      <w:lvlText w:val=""/>
      <w:lvlJc w:val="left"/>
      <w:pPr>
        <w:ind w:left="4694" w:hanging="360"/>
      </w:pPr>
      <w:rPr>
        <w:rFonts w:ascii="Wingdings" w:hAnsi="Wingdings" w:hint="default"/>
      </w:rPr>
    </w:lvl>
    <w:lvl w:ilvl="6">
      <w:start w:val="1"/>
      <w:numFmt w:val="bullet"/>
      <w:lvlText w:val=""/>
      <w:lvlJc w:val="left"/>
      <w:pPr>
        <w:ind w:left="5414" w:hanging="360"/>
      </w:pPr>
      <w:rPr>
        <w:rFonts w:ascii="Symbol" w:hAnsi="Symbol" w:hint="default"/>
      </w:rPr>
    </w:lvl>
    <w:lvl w:ilvl="7">
      <w:start w:val="1"/>
      <w:numFmt w:val="bullet"/>
      <w:lvlText w:val="o"/>
      <w:lvlJc w:val="left"/>
      <w:pPr>
        <w:ind w:left="6134" w:hanging="360"/>
      </w:pPr>
      <w:rPr>
        <w:rFonts w:ascii="Courier New" w:hAnsi="Courier New" w:hint="default"/>
      </w:rPr>
    </w:lvl>
    <w:lvl w:ilvl="8">
      <w:start w:val="1"/>
      <w:numFmt w:val="bullet"/>
      <w:lvlText w:val=""/>
      <w:lvlJc w:val="left"/>
      <w:pPr>
        <w:ind w:left="6854" w:hanging="360"/>
      </w:pPr>
      <w:rPr>
        <w:rFonts w:ascii="Wingdings" w:hAnsi="Wingdings" w:hint="default"/>
      </w:rPr>
    </w:lvl>
  </w:abstractNum>
  <w:abstractNum w:abstractNumId="40" w15:restartNumberingAfterBreak="0">
    <w:nsid w:val="7DD40CA1"/>
    <w:multiLevelType w:val="multilevel"/>
    <w:tmpl w:val="CCAEA852"/>
    <w:lvl w:ilvl="0">
      <w:start w:val="1"/>
      <w:numFmt w:val="decimal"/>
      <w:lvlText w:val="%1"/>
      <w:lvlJc w:val="left"/>
      <w:pPr>
        <w:ind w:left="-867" w:firstLine="158"/>
      </w:pPr>
      <w:rPr>
        <w:rFonts w:ascii="Century Gothic" w:hAnsi="Century Gothic" w:hint="default"/>
        <w:b w:val="0"/>
        <w:bCs w:val="0"/>
        <w:i w:val="0"/>
        <w:iCs w:val="0"/>
        <w:color w:val="595959" w:themeColor="text1" w:themeTint="A6"/>
        <w:sz w:val="18"/>
        <w:szCs w:val="18"/>
      </w:rPr>
    </w:lvl>
    <w:lvl w:ilvl="1">
      <w:start w:val="1"/>
      <w:numFmt w:val="decimal"/>
      <w:lvlText w:val="%1.%2"/>
      <w:lvlJc w:val="left"/>
      <w:pPr>
        <w:ind w:left="-720" w:firstLine="11"/>
      </w:pPr>
      <w:rPr>
        <w:rFonts w:ascii="Century Gothic" w:hAnsi="Century Gothic" w:hint="default"/>
        <w:b w:val="0"/>
        <w:bCs w:val="0"/>
        <w:i w:val="0"/>
        <w:iCs w:val="0"/>
        <w:color w:val="595959" w:themeColor="text1" w:themeTint="A6"/>
        <w:sz w:val="20"/>
        <w:szCs w:val="20"/>
      </w:rPr>
    </w:lvl>
    <w:lvl w:ilvl="2">
      <w:start w:val="1"/>
      <w:numFmt w:val="decimal"/>
      <w:lvlText w:val="%1.%2.%3"/>
      <w:lvlJc w:val="left"/>
      <w:pPr>
        <w:ind w:left="-578" w:hanging="131"/>
      </w:pPr>
      <w:rPr>
        <w:rFonts w:ascii="Century Gothic" w:hAnsi="Century Gothic" w:hint="default"/>
        <w:b w:val="0"/>
        <w:bCs w:val="0"/>
        <w:i w:val="0"/>
        <w:iCs w:val="0"/>
        <w:color w:val="595959" w:themeColor="text1" w:themeTint="A6"/>
        <w:sz w:val="18"/>
        <w:szCs w:val="18"/>
      </w:rPr>
    </w:lvl>
    <w:lvl w:ilvl="3">
      <w:start w:val="1"/>
      <w:numFmt w:val="decimal"/>
      <w:lvlText w:val="%1.%2.%3.%4"/>
      <w:lvlJc w:val="left"/>
      <w:pPr>
        <w:ind w:left="-578" w:hanging="131"/>
      </w:pPr>
      <w:rPr>
        <w:rFonts w:ascii="Century Gothic" w:hAnsi="Century Gothic" w:hint="default"/>
        <w:b w:val="0"/>
        <w:bCs w:val="0"/>
        <w:i w:val="0"/>
        <w:iCs w:val="0"/>
        <w:color w:val="595959" w:themeColor="text1" w:themeTint="A6"/>
        <w:sz w:val="20"/>
        <w:szCs w:val="20"/>
      </w:rPr>
    </w:lvl>
    <w:lvl w:ilvl="4">
      <w:start w:val="1"/>
      <w:numFmt w:val="decimal"/>
      <w:lvlText w:val="%1.%2.%3.%4.%5"/>
      <w:lvlJc w:val="left"/>
      <w:pPr>
        <w:ind w:left="719" w:hanging="1008"/>
      </w:pPr>
      <w:rPr>
        <w:rFonts w:hint="default"/>
      </w:rPr>
    </w:lvl>
    <w:lvl w:ilvl="5">
      <w:start w:val="1"/>
      <w:numFmt w:val="decimal"/>
      <w:lvlText w:val="%1.%2.%3.%4.%5.%6"/>
      <w:lvlJc w:val="left"/>
      <w:pPr>
        <w:ind w:left="863" w:hanging="1152"/>
      </w:pPr>
      <w:rPr>
        <w:rFonts w:hint="default"/>
      </w:rPr>
    </w:lvl>
    <w:lvl w:ilvl="6">
      <w:start w:val="1"/>
      <w:numFmt w:val="decimal"/>
      <w:lvlText w:val="%1.%2.%3.%4.%5.%6.%7"/>
      <w:lvlJc w:val="left"/>
      <w:pPr>
        <w:ind w:left="1007" w:hanging="1296"/>
      </w:pPr>
      <w:rPr>
        <w:rFonts w:hint="default"/>
      </w:rPr>
    </w:lvl>
    <w:lvl w:ilvl="7">
      <w:start w:val="1"/>
      <w:numFmt w:val="decimal"/>
      <w:lvlText w:val="%1.%2.%3.%4.%5.%6.%7.%8"/>
      <w:lvlJc w:val="left"/>
      <w:pPr>
        <w:ind w:left="1151" w:hanging="1440"/>
      </w:pPr>
      <w:rPr>
        <w:rFonts w:hint="default"/>
      </w:rPr>
    </w:lvl>
    <w:lvl w:ilvl="8">
      <w:start w:val="1"/>
      <w:numFmt w:val="decimal"/>
      <w:lvlText w:val="%1.%2.%3.%4.%5.%6.%7.%8.%9"/>
      <w:lvlJc w:val="left"/>
      <w:pPr>
        <w:ind w:left="1295" w:hanging="1584"/>
      </w:pPr>
      <w:rPr>
        <w:rFonts w:hint="default"/>
      </w:rPr>
    </w:lvl>
  </w:abstractNum>
  <w:abstractNum w:abstractNumId="41" w15:restartNumberingAfterBreak="0">
    <w:nsid w:val="7EE565F0"/>
    <w:multiLevelType w:val="multilevel"/>
    <w:tmpl w:val="D79622EA"/>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21"/>
  </w:num>
  <w:num w:numId="3">
    <w:abstractNumId w:val="38"/>
  </w:num>
  <w:num w:numId="4">
    <w:abstractNumId w:val="25"/>
  </w:num>
  <w:num w:numId="5">
    <w:abstractNumId w:val="32"/>
  </w:num>
  <w:num w:numId="6">
    <w:abstractNumId w:val="21"/>
    <w:lvlOverride w:ilvl="0">
      <w:startOverride w:val="1"/>
    </w:lvlOverride>
  </w:num>
  <w:num w:numId="7">
    <w:abstractNumId w:val="35"/>
  </w:num>
  <w:num w:numId="8">
    <w:abstractNumId w:val="31"/>
  </w:num>
  <w:num w:numId="9">
    <w:abstractNumId w:val="37"/>
  </w:num>
  <w:num w:numId="10">
    <w:abstractNumId w:val="28"/>
  </w:num>
  <w:num w:numId="11">
    <w:abstractNumId w:val="20"/>
  </w:num>
  <w:num w:numId="12">
    <w:abstractNumId w:val="41"/>
  </w:num>
  <w:num w:numId="13">
    <w:abstractNumId w:val="24"/>
  </w:num>
  <w:num w:numId="14">
    <w:abstractNumId w:val="0"/>
  </w:num>
  <w:num w:numId="15">
    <w:abstractNumId w:val="1"/>
  </w:num>
  <w:num w:numId="16">
    <w:abstractNumId w:val="2"/>
  </w:num>
  <w:num w:numId="17">
    <w:abstractNumId w:val="3"/>
  </w:num>
  <w:num w:numId="18">
    <w:abstractNumId w:val="8"/>
  </w:num>
  <w:num w:numId="19">
    <w:abstractNumId w:val="4"/>
  </w:num>
  <w:num w:numId="20">
    <w:abstractNumId w:val="5"/>
  </w:num>
  <w:num w:numId="21">
    <w:abstractNumId w:val="6"/>
  </w:num>
  <w:num w:numId="22">
    <w:abstractNumId w:val="7"/>
  </w:num>
  <w:num w:numId="23">
    <w:abstractNumId w:val="9"/>
  </w:num>
  <w:num w:numId="24">
    <w:abstractNumId w:val="10"/>
  </w:num>
  <w:num w:numId="25">
    <w:abstractNumId w:val="11"/>
  </w:num>
  <w:num w:numId="26">
    <w:abstractNumId w:val="12"/>
  </w:num>
  <w:num w:numId="27">
    <w:abstractNumId w:val="13"/>
  </w:num>
  <w:num w:numId="28">
    <w:abstractNumId w:val="14"/>
  </w:num>
  <w:num w:numId="29">
    <w:abstractNumId w:val="15"/>
  </w:num>
  <w:num w:numId="30">
    <w:abstractNumId w:val="39"/>
  </w:num>
  <w:num w:numId="31">
    <w:abstractNumId w:val="36"/>
  </w:num>
  <w:num w:numId="32">
    <w:abstractNumId w:val="16"/>
  </w:num>
  <w:num w:numId="33">
    <w:abstractNumId w:val="26"/>
  </w:num>
  <w:num w:numId="34">
    <w:abstractNumId w:val="22"/>
  </w:num>
  <w:num w:numId="35">
    <w:abstractNumId w:val="34"/>
  </w:num>
  <w:num w:numId="36">
    <w:abstractNumId w:val="40"/>
  </w:num>
  <w:num w:numId="37">
    <w:abstractNumId w:val="27"/>
  </w:num>
  <w:num w:numId="38">
    <w:abstractNumId w:val="23"/>
  </w:num>
  <w:num w:numId="39">
    <w:abstractNumId w:val="30"/>
  </w:num>
  <w:num w:numId="40">
    <w:abstractNumId w:val="29"/>
  </w:num>
  <w:num w:numId="41">
    <w:abstractNumId w:val="17"/>
  </w:num>
  <w:num w:numId="42">
    <w:abstractNumId w:val="18"/>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76D"/>
    <w:rsid w:val="007E2FB7"/>
    <w:rsid w:val="0087786A"/>
    <w:rsid w:val="00B7776D"/>
    <w:rsid w:val="00B816B8"/>
    <w:rsid w:val="00E23F5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A083F"/>
  <w15:chartTrackingRefBased/>
  <w15:docId w15:val="{02FFC163-870A-49B9-AF96-11D2DDB5B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776D"/>
    <w:pPr>
      <w:spacing w:after="0" w:line="240" w:lineRule="auto"/>
    </w:pPr>
    <w:rPr>
      <w:rFonts w:ascii="Calibri" w:eastAsia="Times New Roman" w:hAnsi="Calibri" w:cs="Times New Roman"/>
      <w:color w:val="000000"/>
      <w:sz w:val="20"/>
      <w:szCs w:val="20"/>
      <w:lang w:val="en-GB"/>
    </w:rPr>
  </w:style>
  <w:style w:type="paragraph" w:styleId="Heading1">
    <w:name w:val="heading 1"/>
    <w:basedOn w:val="Normal"/>
    <w:next w:val="Heading3"/>
    <w:link w:val="Heading1Char"/>
    <w:uiPriority w:val="9"/>
    <w:qFormat/>
    <w:rsid w:val="00B7776D"/>
    <w:pPr>
      <w:keepNext/>
      <w:keepLines/>
      <w:pageBreakBefore/>
      <w:numPr>
        <w:numId w:val="31"/>
      </w:numPr>
      <w:tabs>
        <w:tab w:val="left" w:pos="0"/>
      </w:tabs>
      <w:spacing w:after="240"/>
      <w:outlineLvl w:val="0"/>
    </w:pPr>
    <w:rPr>
      <w:rFonts w:ascii="Century Gothic" w:eastAsiaTheme="majorEastAsia" w:hAnsi="Century Gothic" w:cstheme="majorBidi"/>
      <w:color w:val="1F3864" w:themeColor="accent5" w:themeShade="80"/>
      <w:sz w:val="40"/>
      <w:szCs w:val="40"/>
    </w:rPr>
  </w:style>
  <w:style w:type="paragraph" w:styleId="Heading2">
    <w:name w:val="heading 2"/>
    <w:aliases w:val="SubPara,sub-para"/>
    <w:basedOn w:val="Normal"/>
    <w:next w:val="Heading3"/>
    <w:link w:val="Heading2Char"/>
    <w:uiPriority w:val="9"/>
    <w:unhideWhenUsed/>
    <w:rsid w:val="00B7776D"/>
    <w:pPr>
      <w:keepNext/>
      <w:keepLines/>
      <w:pageBreakBefore/>
      <w:numPr>
        <w:ilvl w:val="1"/>
        <w:numId w:val="31"/>
      </w:numPr>
      <w:spacing w:after="240"/>
      <w:outlineLvl w:val="1"/>
    </w:pPr>
    <w:rPr>
      <w:rFonts w:ascii="Century Gothic" w:eastAsiaTheme="majorEastAsia" w:hAnsi="Century Gothic" w:cstheme="majorBidi"/>
      <w:bCs/>
      <w:color w:val="1F3864" w:themeColor="accent5" w:themeShade="80"/>
      <w:sz w:val="36"/>
      <w:szCs w:val="26"/>
    </w:rPr>
  </w:style>
  <w:style w:type="paragraph" w:styleId="Heading3">
    <w:name w:val="heading 3"/>
    <w:aliases w:val="Sub2Para,h3,sub-sub-para"/>
    <w:basedOn w:val="Normal"/>
    <w:next w:val="Body"/>
    <w:link w:val="Heading3Char"/>
    <w:uiPriority w:val="9"/>
    <w:unhideWhenUsed/>
    <w:qFormat/>
    <w:rsid w:val="00B7776D"/>
    <w:pPr>
      <w:keepNext/>
      <w:keepLines/>
      <w:numPr>
        <w:ilvl w:val="2"/>
        <w:numId w:val="31"/>
      </w:numPr>
      <w:tabs>
        <w:tab w:val="left" w:pos="0"/>
      </w:tabs>
      <w:spacing w:before="320"/>
      <w:outlineLvl w:val="2"/>
    </w:pPr>
    <w:rPr>
      <w:rFonts w:ascii="Century Gothic" w:eastAsiaTheme="majorEastAsia" w:hAnsi="Century Gothic" w:cstheme="majorBidi"/>
      <w:bCs/>
      <w:color w:val="1F3864" w:themeColor="accent5" w:themeShade="80"/>
      <w:sz w:val="28"/>
    </w:rPr>
  </w:style>
  <w:style w:type="paragraph" w:styleId="Heading4">
    <w:name w:val="heading 4"/>
    <w:basedOn w:val="Normal"/>
    <w:next w:val="Body"/>
    <w:link w:val="Heading4Char"/>
    <w:uiPriority w:val="9"/>
    <w:unhideWhenUsed/>
    <w:qFormat/>
    <w:rsid w:val="00B7776D"/>
    <w:pPr>
      <w:keepNext/>
      <w:keepLines/>
      <w:numPr>
        <w:ilvl w:val="3"/>
        <w:numId w:val="31"/>
      </w:numPr>
      <w:tabs>
        <w:tab w:val="left" w:pos="0"/>
      </w:tabs>
      <w:spacing w:before="200"/>
      <w:outlineLvl w:val="3"/>
    </w:pPr>
    <w:rPr>
      <w:rFonts w:ascii="Century Gothic" w:eastAsiaTheme="majorEastAsia" w:hAnsi="Century Gothic" w:cstheme="majorBidi"/>
      <w:bCs/>
      <w:iCs/>
      <w:color w:val="1F3864" w:themeColor="accent5" w:themeShade="80"/>
      <w:sz w:val="22"/>
    </w:rPr>
  </w:style>
  <w:style w:type="paragraph" w:styleId="Heading5">
    <w:name w:val="heading 5"/>
    <w:basedOn w:val="Normal"/>
    <w:next w:val="BodyforLegal"/>
    <w:link w:val="Heading5Char"/>
    <w:uiPriority w:val="9"/>
    <w:unhideWhenUsed/>
    <w:qFormat/>
    <w:rsid w:val="00B7776D"/>
    <w:pPr>
      <w:keepNext/>
      <w:keepLines/>
      <w:numPr>
        <w:ilvl w:val="4"/>
        <w:numId w:val="31"/>
      </w:numPr>
      <w:pBdr>
        <w:top w:val="single" w:sz="4" w:space="4" w:color="458BA9"/>
      </w:pBdr>
      <w:spacing w:before="300" w:after="60"/>
      <w:outlineLvl w:val="4"/>
    </w:pPr>
    <w:rPr>
      <w:rFonts w:ascii="Gill Sans" w:eastAsiaTheme="majorEastAsia" w:hAnsi="Gill Sans" w:cstheme="majorBidi"/>
      <w:b/>
      <w:color w:val="2F5496" w:themeColor="accent5" w:themeShade="BF"/>
      <w:sz w:val="24"/>
    </w:rPr>
  </w:style>
  <w:style w:type="paragraph" w:styleId="Heading6">
    <w:name w:val="heading 6"/>
    <w:basedOn w:val="Normal"/>
    <w:next w:val="Normal"/>
    <w:link w:val="Heading6Char"/>
    <w:uiPriority w:val="9"/>
    <w:unhideWhenUsed/>
    <w:qFormat/>
    <w:rsid w:val="00B7776D"/>
    <w:pPr>
      <w:keepNext/>
      <w:keepLines/>
      <w:numPr>
        <w:ilvl w:val="5"/>
        <w:numId w:val="31"/>
      </w:numPr>
      <w:spacing w:before="200"/>
      <w:outlineLvl w:val="5"/>
    </w:pPr>
    <w:rPr>
      <w:rFonts w:ascii="Century Gothic" w:eastAsiaTheme="majorEastAsia" w:hAnsi="Century Gothic" w:cstheme="majorBidi"/>
      <w:b/>
      <w:iCs/>
      <w:color w:val="2F5496" w:themeColor="accent5" w:themeShade="BF"/>
      <w:sz w:val="18"/>
    </w:rPr>
  </w:style>
  <w:style w:type="paragraph" w:styleId="Heading7">
    <w:name w:val="heading 7"/>
    <w:basedOn w:val="Normal"/>
    <w:next w:val="Normal"/>
    <w:link w:val="Heading7Char"/>
    <w:uiPriority w:val="9"/>
    <w:semiHidden/>
    <w:unhideWhenUsed/>
    <w:qFormat/>
    <w:rsid w:val="00B7776D"/>
    <w:pPr>
      <w:keepNext/>
      <w:keepLines/>
      <w:numPr>
        <w:ilvl w:val="6"/>
        <w:numId w:val="3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7776D"/>
    <w:pPr>
      <w:keepNext/>
      <w:keepLines/>
      <w:numPr>
        <w:ilvl w:val="7"/>
        <w:numId w:val="31"/>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B7776D"/>
    <w:pPr>
      <w:keepNext/>
      <w:keepLines/>
      <w:numPr>
        <w:ilvl w:val="8"/>
        <w:numId w:val="3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776D"/>
    <w:rPr>
      <w:rFonts w:ascii="Century Gothic" w:eastAsiaTheme="majorEastAsia" w:hAnsi="Century Gothic" w:cstheme="majorBidi"/>
      <w:color w:val="1F3864" w:themeColor="accent5" w:themeShade="80"/>
      <w:sz w:val="40"/>
      <w:szCs w:val="40"/>
      <w:lang w:val="en-GB"/>
    </w:rPr>
  </w:style>
  <w:style w:type="character" w:customStyle="1" w:styleId="Heading2Char">
    <w:name w:val="Heading 2 Char"/>
    <w:aliases w:val="SubPara Char,sub-para Char"/>
    <w:basedOn w:val="DefaultParagraphFont"/>
    <w:link w:val="Heading2"/>
    <w:uiPriority w:val="9"/>
    <w:rsid w:val="00B7776D"/>
    <w:rPr>
      <w:rFonts w:ascii="Century Gothic" w:eastAsiaTheme="majorEastAsia" w:hAnsi="Century Gothic" w:cstheme="majorBidi"/>
      <w:bCs/>
      <w:color w:val="1F3864" w:themeColor="accent5" w:themeShade="80"/>
      <w:sz w:val="36"/>
      <w:szCs w:val="26"/>
      <w:lang w:val="en-GB"/>
    </w:rPr>
  </w:style>
  <w:style w:type="character" w:customStyle="1" w:styleId="Heading3Char">
    <w:name w:val="Heading 3 Char"/>
    <w:aliases w:val="Sub2Para Char,h3 Char,sub-sub-para Char"/>
    <w:basedOn w:val="DefaultParagraphFont"/>
    <w:link w:val="Heading3"/>
    <w:uiPriority w:val="9"/>
    <w:rsid w:val="00B7776D"/>
    <w:rPr>
      <w:rFonts w:ascii="Century Gothic" w:eastAsiaTheme="majorEastAsia" w:hAnsi="Century Gothic" w:cstheme="majorBidi"/>
      <w:bCs/>
      <w:color w:val="1F3864" w:themeColor="accent5" w:themeShade="80"/>
      <w:sz w:val="28"/>
      <w:szCs w:val="20"/>
      <w:lang w:val="en-GB"/>
    </w:rPr>
  </w:style>
  <w:style w:type="character" w:customStyle="1" w:styleId="Heading4Char">
    <w:name w:val="Heading 4 Char"/>
    <w:basedOn w:val="DefaultParagraphFont"/>
    <w:link w:val="Heading4"/>
    <w:uiPriority w:val="9"/>
    <w:rsid w:val="00B7776D"/>
    <w:rPr>
      <w:rFonts w:ascii="Century Gothic" w:eastAsiaTheme="majorEastAsia" w:hAnsi="Century Gothic" w:cstheme="majorBidi"/>
      <w:bCs/>
      <w:iCs/>
      <w:color w:val="1F3864" w:themeColor="accent5" w:themeShade="80"/>
      <w:szCs w:val="20"/>
      <w:lang w:val="en-GB"/>
    </w:rPr>
  </w:style>
  <w:style w:type="character" w:customStyle="1" w:styleId="Heading5Char">
    <w:name w:val="Heading 5 Char"/>
    <w:basedOn w:val="DefaultParagraphFont"/>
    <w:link w:val="Heading5"/>
    <w:uiPriority w:val="9"/>
    <w:rsid w:val="00B7776D"/>
    <w:rPr>
      <w:rFonts w:ascii="Gill Sans" w:eastAsiaTheme="majorEastAsia" w:hAnsi="Gill Sans" w:cstheme="majorBidi"/>
      <w:b/>
      <w:color w:val="2F5496" w:themeColor="accent5" w:themeShade="BF"/>
      <w:sz w:val="24"/>
      <w:szCs w:val="20"/>
      <w:lang w:val="en-GB"/>
    </w:rPr>
  </w:style>
  <w:style w:type="character" w:customStyle="1" w:styleId="Heading6Char">
    <w:name w:val="Heading 6 Char"/>
    <w:basedOn w:val="DefaultParagraphFont"/>
    <w:link w:val="Heading6"/>
    <w:uiPriority w:val="9"/>
    <w:rsid w:val="00B7776D"/>
    <w:rPr>
      <w:rFonts w:ascii="Century Gothic" w:eastAsiaTheme="majorEastAsia" w:hAnsi="Century Gothic" w:cstheme="majorBidi"/>
      <w:b/>
      <w:iCs/>
      <w:color w:val="2F5496" w:themeColor="accent5" w:themeShade="BF"/>
      <w:sz w:val="18"/>
      <w:szCs w:val="20"/>
      <w:lang w:val="en-GB"/>
    </w:rPr>
  </w:style>
  <w:style w:type="character" w:customStyle="1" w:styleId="Heading7Char">
    <w:name w:val="Heading 7 Char"/>
    <w:basedOn w:val="DefaultParagraphFont"/>
    <w:link w:val="Heading7"/>
    <w:uiPriority w:val="9"/>
    <w:semiHidden/>
    <w:rsid w:val="00B7776D"/>
    <w:rPr>
      <w:rFonts w:asciiTheme="majorHAnsi" w:eastAsiaTheme="majorEastAsia" w:hAnsiTheme="majorHAnsi" w:cstheme="majorBidi"/>
      <w:i/>
      <w:iCs/>
      <w:color w:val="404040" w:themeColor="text1" w:themeTint="BF"/>
      <w:sz w:val="20"/>
      <w:szCs w:val="20"/>
      <w:lang w:val="en-GB"/>
    </w:rPr>
  </w:style>
  <w:style w:type="character" w:customStyle="1" w:styleId="Heading8Char">
    <w:name w:val="Heading 8 Char"/>
    <w:basedOn w:val="DefaultParagraphFont"/>
    <w:link w:val="Heading8"/>
    <w:uiPriority w:val="9"/>
    <w:semiHidden/>
    <w:rsid w:val="00B7776D"/>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B7776D"/>
    <w:rPr>
      <w:rFonts w:asciiTheme="majorHAnsi" w:eastAsiaTheme="majorEastAsia" w:hAnsiTheme="majorHAnsi" w:cstheme="majorBidi"/>
      <w:i/>
      <w:iCs/>
      <w:color w:val="404040" w:themeColor="text1" w:themeTint="BF"/>
      <w:sz w:val="20"/>
      <w:szCs w:val="20"/>
      <w:lang w:val="en-GB"/>
    </w:rPr>
  </w:style>
  <w:style w:type="paragraph" w:styleId="Header">
    <w:name w:val="header"/>
    <w:basedOn w:val="Normal"/>
    <w:link w:val="HeaderChar"/>
    <w:rsid w:val="00B7776D"/>
    <w:pPr>
      <w:tabs>
        <w:tab w:val="center" w:pos="4153"/>
        <w:tab w:val="right" w:pos="8306"/>
      </w:tabs>
      <w:spacing w:before="40"/>
      <w:ind w:left="1134" w:hanging="1134"/>
    </w:pPr>
    <w:rPr>
      <w:rFonts w:ascii="Century Gothic" w:hAnsi="Century Gothic"/>
      <w:color w:val="8D9D91"/>
      <w:sz w:val="16"/>
    </w:rPr>
  </w:style>
  <w:style w:type="character" w:customStyle="1" w:styleId="HeaderChar">
    <w:name w:val="Header Char"/>
    <w:basedOn w:val="DefaultParagraphFont"/>
    <w:link w:val="Header"/>
    <w:rsid w:val="00B7776D"/>
    <w:rPr>
      <w:rFonts w:ascii="Century Gothic" w:eastAsia="Times New Roman" w:hAnsi="Century Gothic" w:cs="Times New Roman"/>
      <w:color w:val="8D9D91"/>
      <w:sz w:val="16"/>
      <w:szCs w:val="20"/>
      <w:lang w:val="en-GB"/>
    </w:rPr>
  </w:style>
  <w:style w:type="paragraph" w:styleId="Footer">
    <w:name w:val="footer"/>
    <w:basedOn w:val="Normal"/>
    <w:link w:val="FooterChar"/>
    <w:autoRedefine/>
    <w:rsid w:val="00B7776D"/>
    <w:pPr>
      <w:tabs>
        <w:tab w:val="right" w:pos="8306"/>
      </w:tabs>
      <w:jc w:val="center"/>
    </w:pPr>
    <w:rPr>
      <w:rFonts w:ascii="Century Gothic" w:hAnsi="Century Gothic"/>
      <w:color w:val="8D9D91"/>
      <w:sz w:val="16"/>
    </w:rPr>
  </w:style>
  <w:style w:type="character" w:customStyle="1" w:styleId="FooterChar">
    <w:name w:val="Footer Char"/>
    <w:basedOn w:val="DefaultParagraphFont"/>
    <w:link w:val="Footer"/>
    <w:rsid w:val="00B7776D"/>
    <w:rPr>
      <w:rFonts w:ascii="Century Gothic" w:eastAsia="Times New Roman" w:hAnsi="Century Gothic" w:cs="Times New Roman"/>
      <w:color w:val="8D9D91"/>
      <w:sz w:val="16"/>
      <w:szCs w:val="20"/>
      <w:lang w:val="en-GB"/>
    </w:rPr>
  </w:style>
  <w:style w:type="character" w:styleId="PageNumber">
    <w:name w:val="page number"/>
    <w:basedOn w:val="DefaultParagraphFont"/>
    <w:rsid w:val="00B7776D"/>
    <w:rPr>
      <w:rFonts w:ascii="Gill Sans" w:hAnsi="Gill Sans"/>
      <w:b/>
      <w:color w:val="8D9D91"/>
      <w:sz w:val="18"/>
    </w:rPr>
  </w:style>
  <w:style w:type="paragraph" w:styleId="DocumentMap">
    <w:name w:val="Document Map"/>
    <w:basedOn w:val="Normal"/>
    <w:link w:val="DocumentMapChar"/>
    <w:rsid w:val="00B7776D"/>
    <w:pPr>
      <w:shd w:val="clear" w:color="auto" w:fill="000080"/>
    </w:pPr>
    <w:rPr>
      <w:rFonts w:ascii="Tahoma" w:hAnsi="Tahoma"/>
    </w:rPr>
  </w:style>
  <w:style w:type="character" w:customStyle="1" w:styleId="DocumentMapChar">
    <w:name w:val="Document Map Char"/>
    <w:basedOn w:val="DefaultParagraphFont"/>
    <w:link w:val="DocumentMap"/>
    <w:rsid w:val="00B7776D"/>
    <w:rPr>
      <w:rFonts w:ascii="Tahoma" w:eastAsia="Times New Roman" w:hAnsi="Tahoma" w:cs="Times New Roman"/>
      <w:color w:val="000000"/>
      <w:sz w:val="20"/>
      <w:szCs w:val="20"/>
      <w:shd w:val="clear" w:color="auto" w:fill="000080"/>
      <w:lang w:val="en-GB"/>
    </w:rPr>
  </w:style>
  <w:style w:type="paragraph" w:customStyle="1" w:styleId="Body">
    <w:name w:val="Body"/>
    <w:basedOn w:val="Normal"/>
    <w:qFormat/>
    <w:rsid w:val="00B7776D"/>
    <w:pPr>
      <w:spacing w:before="160"/>
    </w:pPr>
    <w:rPr>
      <w:color w:val="0D0D0D" w:themeColor="text1" w:themeTint="F2"/>
      <w:sz w:val="22"/>
    </w:rPr>
  </w:style>
  <w:style w:type="paragraph" w:customStyle="1" w:styleId="BulletIndent0">
    <w:name w:val="Bullet Indent 0"/>
    <w:basedOn w:val="Body"/>
    <w:qFormat/>
    <w:rsid w:val="00B7776D"/>
    <w:pPr>
      <w:numPr>
        <w:numId w:val="3"/>
      </w:numPr>
      <w:tabs>
        <w:tab w:val="left" w:pos="187"/>
      </w:tabs>
      <w:spacing w:before="40"/>
    </w:pPr>
  </w:style>
  <w:style w:type="paragraph" w:customStyle="1" w:styleId="BulletIndent1">
    <w:name w:val="Bullet Indent 1"/>
    <w:basedOn w:val="BulletIndent0"/>
    <w:qFormat/>
    <w:rsid w:val="00B7776D"/>
    <w:pPr>
      <w:ind w:left="374"/>
    </w:pPr>
  </w:style>
  <w:style w:type="paragraph" w:customStyle="1" w:styleId="ProcedureStep">
    <w:name w:val="Procedure Step"/>
    <w:basedOn w:val="Normal"/>
    <w:next w:val="ProcedureResult"/>
    <w:qFormat/>
    <w:rsid w:val="00B7776D"/>
    <w:pPr>
      <w:numPr>
        <w:numId w:val="2"/>
      </w:numPr>
      <w:tabs>
        <w:tab w:val="clear" w:pos="360"/>
      </w:tabs>
      <w:spacing w:before="70" w:after="40"/>
      <w:ind w:left="357" w:hanging="357"/>
    </w:pPr>
    <w:rPr>
      <w:b/>
      <w:sz w:val="22"/>
    </w:rPr>
  </w:style>
  <w:style w:type="paragraph" w:styleId="TOC4">
    <w:name w:val="toc 4"/>
    <w:basedOn w:val="Normal"/>
    <w:next w:val="Normal"/>
    <w:autoRedefine/>
    <w:semiHidden/>
    <w:rsid w:val="00B7776D"/>
    <w:pPr>
      <w:ind w:left="600"/>
    </w:pPr>
  </w:style>
  <w:style w:type="paragraph" w:customStyle="1" w:styleId="Important">
    <w:name w:val="Important"/>
    <w:basedOn w:val="Body"/>
    <w:next w:val="Body"/>
    <w:qFormat/>
    <w:rsid w:val="00B7776D"/>
    <w:pPr>
      <w:spacing w:after="60"/>
      <w:ind w:hanging="1021"/>
    </w:pPr>
    <w:rPr>
      <w:i/>
      <w:color w:val="131313"/>
    </w:rPr>
  </w:style>
  <w:style w:type="paragraph" w:styleId="TOC1">
    <w:name w:val="toc 1"/>
    <w:basedOn w:val="Normal"/>
    <w:next w:val="Normal"/>
    <w:autoRedefine/>
    <w:uiPriority w:val="39"/>
    <w:rsid w:val="00B7776D"/>
    <w:pPr>
      <w:spacing w:before="400" w:after="60"/>
    </w:pPr>
    <w:rPr>
      <w:rFonts w:ascii="Century Gothic" w:hAnsi="Century Gothic"/>
      <w:sz w:val="24"/>
    </w:rPr>
  </w:style>
  <w:style w:type="paragraph" w:styleId="TOC2">
    <w:name w:val="toc 2"/>
    <w:basedOn w:val="Normal"/>
    <w:next w:val="Normal"/>
    <w:autoRedefine/>
    <w:uiPriority w:val="39"/>
    <w:rsid w:val="00B7776D"/>
    <w:pPr>
      <w:tabs>
        <w:tab w:val="right" w:leader="dot" w:pos="8210"/>
      </w:tabs>
      <w:spacing w:before="160" w:after="60"/>
      <w:ind w:left="340"/>
    </w:pPr>
    <w:rPr>
      <w:rFonts w:ascii="Century Gothic" w:hAnsi="Century Gothic"/>
    </w:rPr>
  </w:style>
  <w:style w:type="paragraph" w:styleId="TOC3">
    <w:name w:val="toc 3"/>
    <w:basedOn w:val="Normal"/>
    <w:next w:val="Normal"/>
    <w:autoRedefine/>
    <w:rsid w:val="00B7776D"/>
    <w:pPr>
      <w:spacing w:before="40" w:after="40"/>
      <w:ind w:left="567"/>
    </w:pPr>
    <w:rPr>
      <w:rFonts w:ascii="Arial" w:hAnsi="Arial"/>
    </w:rPr>
  </w:style>
  <w:style w:type="paragraph" w:customStyle="1" w:styleId="ChecklistItem">
    <w:name w:val="Checklist Item"/>
    <w:basedOn w:val="Body"/>
    <w:qFormat/>
    <w:rsid w:val="00B7776D"/>
    <w:pPr>
      <w:numPr>
        <w:numId w:val="1"/>
      </w:numPr>
      <w:spacing w:before="40" w:after="40"/>
      <w:ind w:left="924" w:hanging="357"/>
    </w:pPr>
  </w:style>
  <w:style w:type="paragraph" w:customStyle="1" w:styleId="Title-Topiccontinued">
    <w:name w:val="Title - Topic (continued)"/>
    <w:basedOn w:val="Normal"/>
    <w:next w:val="Normal"/>
    <w:qFormat/>
    <w:rsid w:val="00B7776D"/>
    <w:pPr>
      <w:pageBreakBefore/>
      <w:spacing w:after="240"/>
      <w:outlineLvl w:val="2"/>
    </w:pPr>
    <w:rPr>
      <w:rFonts w:ascii="Century Gothic" w:hAnsi="Century Gothic"/>
      <w:color w:val="808080"/>
      <w:sz w:val="36"/>
    </w:rPr>
  </w:style>
  <w:style w:type="paragraph" w:customStyle="1" w:styleId="ProcedureResult">
    <w:name w:val="Procedure Result"/>
    <w:basedOn w:val="ProcedureStep"/>
    <w:next w:val="ProcedureStep"/>
    <w:qFormat/>
    <w:rsid w:val="00B7776D"/>
    <w:pPr>
      <w:numPr>
        <w:numId w:val="0"/>
      </w:numPr>
      <w:spacing w:before="0"/>
      <w:ind w:left="357"/>
    </w:pPr>
    <w:rPr>
      <w:b w:val="0"/>
      <w:i/>
      <w:color w:val="4C4C4C"/>
    </w:rPr>
  </w:style>
  <w:style w:type="paragraph" w:customStyle="1" w:styleId="Title-TOC">
    <w:name w:val="Title - TOC"/>
    <w:basedOn w:val="Normal"/>
    <w:next w:val="Body"/>
    <w:rsid w:val="00B7776D"/>
    <w:pPr>
      <w:pageBreakBefore/>
      <w:spacing w:after="240"/>
      <w:outlineLvl w:val="2"/>
    </w:pPr>
    <w:rPr>
      <w:rFonts w:ascii="Century Gothic" w:hAnsi="Century Gothic"/>
      <w:caps/>
      <w:color w:val="458BA9"/>
      <w:sz w:val="40"/>
    </w:rPr>
  </w:style>
  <w:style w:type="paragraph" w:styleId="FootnoteText">
    <w:name w:val="footnote text"/>
    <w:basedOn w:val="Normal"/>
    <w:link w:val="FootnoteTextChar"/>
    <w:rsid w:val="00B7776D"/>
    <w:rPr>
      <w:rFonts w:ascii="Lucida Bright" w:hAnsi="Lucida Bright"/>
      <w:sz w:val="16"/>
    </w:rPr>
  </w:style>
  <w:style w:type="character" w:customStyle="1" w:styleId="FootnoteTextChar">
    <w:name w:val="Footnote Text Char"/>
    <w:basedOn w:val="DefaultParagraphFont"/>
    <w:link w:val="FootnoteText"/>
    <w:rsid w:val="00B7776D"/>
    <w:rPr>
      <w:rFonts w:ascii="Lucida Bright" w:eastAsia="Times New Roman" w:hAnsi="Lucida Bright" w:cs="Times New Roman"/>
      <w:color w:val="000000"/>
      <w:sz w:val="16"/>
      <w:szCs w:val="20"/>
      <w:lang w:val="en-GB"/>
    </w:rPr>
  </w:style>
  <w:style w:type="character" w:styleId="FootnoteReference">
    <w:name w:val="footnote reference"/>
    <w:basedOn w:val="DefaultParagraphFont"/>
    <w:rsid w:val="00B7776D"/>
    <w:rPr>
      <w:rFonts w:ascii="Lucida Bright" w:hAnsi="Lucida Bright"/>
      <w:vertAlign w:val="superscript"/>
    </w:rPr>
  </w:style>
  <w:style w:type="paragraph" w:customStyle="1" w:styleId="Title-Document">
    <w:name w:val="Title - Document"/>
    <w:basedOn w:val="Normal"/>
    <w:next w:val="Cover-Date"/>
    <w:qFormat/>
    <w:rsid w:val="00B7776D"/>
    <w:pPr>
      <w:spacing w:after="240"/>
      <w:jc w:val="center"/>
      <w:outlineLvl w:val="1"/>
    </w:pPr>
    <w:rPr>
      <w:rFonts w:ascii="Century Gothic" w:hAnsi="Century Gothic"/>
      <w:color w:val="2F5496" w:themeColor="accent5" w:themeShade="BF"/>
      <w:sz w:val="60"/>
    </w:rPr>
  </w:style>
  <w:style w:type="paragraph" w:customStyle="1" w:styleId="BulletIndent2">
    <w:name w:val="Bullet Indent 2"/>
    <w:basedOn w:val="Body"/>
    <w:qFormat/>
    <w:rsid w:val="00B7776D"/>
    <w:pPr>
      <w:numPr>
        <w:numId w:val="7"/>
      </w:numPr>
      <w:spacing w:before="40"/>
      <w:ind w:left="561"/>
    </w:pPr>
  </w:style>
  <w:style w:type="paragraph" w:customStyle="1" w:styleId="Note">
    <w:name w:val="Note"/>
    <w:basedOn w:val="Important"/>
    <w:qFormat/>
    <w:rsid w:val="00B7776D"/>
    <w:pPr>
      <w:ind w:left="561" w:hanging="561"/>
    </w:pPr>
    <w:rPr>
      <w:color w:val="454746"/>
    </w:rPr>
  </w:style>
  <w:style w:type="paragraph" w:styleId="TOC5">
    <w:name w:val="toc 5"/>
    <w:basedOn w:val="Normal"/>
    <w:next w:val="Normal"/>
    <w:autoRedefine/>
    <w:semiHidden/>
    <w:rsid w:val="00B7776D"/>
    <w:pPr>
      <w:ind w:left="800"/>
    </w:pPr>
  </w:style>
  <w:style w:type="paragraph" w:styleId="TOC6">
    <w:name w:val="toc 6"/>
    <w:basedOn w:val="Normal"/>
    <w:next w:val="Normal"/>
    <w:autoRedefine/>
    <w:semiHidden/>
    <w:rsid w:val="00B7776D"/>
    <w:pPr>
      <w:ind w:left="1000"/>
    </w:pPr>
  </w:style>
  <w:style w:type="paragraph" w:styleId="TOC7">
    <w:name w:val="toc 7"/>
    <w:basedOn w:val="Normal"/>
    <w:next w:val="Normal"/>
    <w:autoRedefine/>
    <w:semiHidden/>
    <w:rsid w:val="00B7776D"/>
    <w:pPr>
      <w:ind w:left="1200"/>
    </w:pPr>
  </w:style>
  <w:style w:type="paragraph" w:styleId="TOC8">
    <w:name w:val="toc 8"/>
    <w:basedOn w:val="Normal"/>
    <w:next w:val="Normal"/>
    <w:autoRedefine/>
    <w:semiHidden/>
    <w:rsid w:val="00B7776D"/>
    <w:pPr>
      <w:ind w:left="1400"/>
    </w:pPr>
  </w:style>
  <w:style w:type="paragraph" w:styleId="TOC9">
    <w:name w:val="toc 9"/>
    <w:basedOn w:val="Normal"/>
    <w:next w:val="Normal"/>
    <w:autoRedefine/>
    <w:semiHidden/>
    <w:rsid w:val="00B7776D"/>
    <w:pPr>
      <w:ind w:left="1600"/>
    </w:pPr>
  </w:style>
  <w:style w:type="table" w:styleId="TableGrid">
    <w:name w:val="Table Grid"/>
    <w:basedOn w:val="TableNormal"/>
    <w:rsid w:val="00B7776D"/>
    <w:pPr>
      <w:spacing w:after="0" w:line="240" w:lineRule="auto"/>
    </w:pPr>
    <w:rPr>
      <w:rFonts w:ascii="Times New Roman" w:eastAsia="Times New Roman" w:hAnsi="Times New Roman"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BodyText"/>
    <w:rsid w:val="00B7776D"/>
    <w:pPr>
      <w:spacing w:before="80" w:after="80" w:line="280" w:lineRule="atLeast"/>
    </w:pPr>
    <w:rPr>
      <w:rFonts w:ascii="Arial" w:hAnsi="Arial"/>
      <w:bCs/>
      <w:color w:val="auto"/>
      <w:szCs w:val="24"/>
      <w:lang w:val="mi-NZ"/>
    </w:rPr>
  </w:style>
  <w:style w:type="paragraph" w:customStyle="1" w:styleId="NoteBullet">
    <w:name w:val="Note Bullet"/>
    <w:basedOn w:val="Note"/>
    <w:qFormat/>
    <w:rsid w:val="00B7776D"/>
    <w:pPr>
      <w:numPr>
        <w:numId w:val="4"/>
      </w:numPr>
      <w:tabs>
        <w:tab w:val="clear" w:pos="1281"/>
      </w:tabs>
      <w:spacing w:before="100"/>
      <w:ind w:left="748" w:hanging="187"/>
    </w:pPr>
    <w:rPr>
      <w:rFonts w:cs="ArialMT"/>
      <w:szCs w:val="24"/>
      <w:lang w:val="en-US" w:bidi="en-US"/>
    </w:rPr>
  </w:style>
  <w:style w:type="paragraph" w:customStyle="1" w:styleId="Code">
    <w:name w:val="Code"/>
    <w:basedOn w:val="Body"/>
    <w:qFormat/>
    <w:rsid w:val="00B7776D"/>
    <w:pPr>
      <w:ind w:left="561"/>
    </w:pPr>
    <w:rPr>
      <w:rFonts w:ascii="Courier New" w:hAnsi="Courier New"/>
      <w:sz w:val="20"/>
    </w:rPr>
  </w:style>
  <w:style w:type="paragraph" w:customStyle="1" w:styleId="NoteforTable">
    <w:name w:val="Note for Table"/>
    <w:basedOn w:val="Body"/>
    <w:next w:val="Body"/>
    <w:rsid w:val="00B7776D"/>
    <w:rPr>
      <w:i/>
      <w:color w:val="404040"/>
      <w:sz w:val="20"/>
    </w:rPr>
  </w:style>
  <w:style w:type="paragraph" w:customStyle="1" w:styleId="BodyforTable">
    <w:name w:val="Body for Table"/>
    <w:basedOn w:val="Body"/>
    <w:qFormat/>
    <w:rsid w:val="00B7776D"/>
    <w:rPr>
      <w:color w:val="auto"/>
      <w:sz w:val="20"/>
    </w:rPr>
  </w:style>
  <w:style w:type="paragraph" w:customStyle="1" w:styleId="BulletIndent0forTable">
    <w:name w:val="Bullet Indent 0 for Table"/>
    <w:basedOn w:val="BulletIndent0"/>
    <w:qFormat/>
    <w:rsid w:val="00B7776D"/>
    <w:rPr>
      <w:sz w:val="20"/>
    </w:rPr>
  </w:style>
  <w:style w:type="paragraph" w:customStyle="1" w:styleId="StyleExample">
    <w:name w:val="Style Example"/>
    <w:basedOn w:val="Body"/>
    <w:qFormat/>
    <w:rsid w:val="00B7776D"/>
    <w:pPr>
      <w:ind w:left="567"/>
    </w:pPr>
  </w:style>
  <w:style w:type="paragraph" w:customStyle="1" w:styleId="Cover-Date">
    <w:name w:val="Cover - Date"/>
    <w:basedOn w:val="Body"/>
    <w:rsid w:val="00B7776D"/>
    <w:pPr>
      <w:jc w:val="center"/>
    </w:pPr>
    <w:rPr>
      <w:rFonts w:ascii="Gill Sans" w:hAnsi="Gill Sans"/>
      <w:color w:val="00202E"/>
    </w:rPr>
  </w:style>
  <w:style w:type="paragraph" w:customStyle="1" w:styleId="Cover-VersionControl">
    <w:name w:val="Cover - Version Control"/>
    <w:basedOn w:val="Cover-Date"/>
    <w:rsid w:val="00B7776D"/>
    <w:rPr>
      <w:sz w:val="20"/>
    </w:rPr>
  </w:style>
  <w:style w:type="paragraph" w:styleId="BodyText">
    <w:name w:val="Body Text"/>
    <w:basedOn w:val="Normal"/>
    <w:link w:val="BodyTextChar"/>
    <w:rsid w:val="00B7776D"/>
    <w:pPr>
      <w:spacing w:after="120"/>
    </w:pPr>
  </w:style>
  <w:style w:type="character" w:customStyle="1" w:styleId="BodyTextChar">
    <w:name w:val="Body Text Char"/>
    <w:basedOn w:val="DefaultParagraphFont"/>
    <w:link w:val="BodyText"/>
    <w:rsid w:val="00B7776D"/>
    <w:rPr>
      <w:rFonts w:ascii="Calibri" w:eastAsia="Times New Roman" w:hAnsi="Calibri" w:cs="Times New Roman"/>
      <w:color w:val="000000"/>
      <w:sz w:val="20"/>
      <w:szCs w:val="20"/>
      <w:lang w:val="en-GB"/>
    </w:rPr>
  </w:style>
  <w:style w:type="character" w:styleId="Hyperlink">
    <w:name w:val="Hyperlink"/>
    <w:basedOn w:val="DefaultParagraphFont"/>
    <w:rsid w:val="00B7776D"/>
    <w:rPr>
      <w:rFonts w:cs="Times New Roman"/>
      <w:color w:val="0000FF"/>
      <w:u w:val="single"/>
    </w:rPr>
  </w:style>
  <w:style w:type="paragraph" w:customStyle="1" w:styleId="HeaderforTable">
    <w:name w:val="Header for Table"/>
    <w:basedOn w:val="Heading6"/>
    <w:qFormat/>
    <w:rsid w:val="00B7776D"/>
    <w:pPr>
      <w:numPr>
        <w:ilvl w:val="0"/>
        <w:numId w:val="0"/>
      </w:numPr>
      <w:spacing w:before="180" w:after="40"/>
      <w:outlineLvl w:val="4"/>
    </w:pPr>
  </w:style>
  <w:style w:type="paragraph" w:styleId="BalloonText">
    <w:name w:val="Balloon Text"/>
    <w:basedOn w:val="Normal"/>
    <w:link w:val="BalloonTextChar"/>
    <w:uiPriority w:val="99"/>
    <w:semiHidden/>
    <w:unhideWhenUsed/>
    <w:rsid w:val="00B777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776D"/>
    <w:rPr>
      <w:rFonts w:ascii="Lucida Grande" w:eastAsia="Times New Roman" w:hAnsi="Lucida Grande" w:cs="Lucida Grande"/>
      <w:color w:val="000000"/>
      <w:sz w:val="18"/>
      <w:szCs w:val="18"/>
      <w:lang w:val="en-GB"/>
    </w:rPr>
  </w:style>
  <w:style w:type="paragraph" w:customStyle="1" w:styleId="BlockQuote">
    <w:name w:val="Block Quote"/>
    <w:basedOn w:val="Body"/>
    <w:next w:val="BlockQuoteAuthor"/>
    <w:qFormat/>
    <w:rsid w:val="00B77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0" w:line="360" w:lineRule="auto"/>
      <w:ind w:left="1418" w:right="1418"/>
      <w:jc w:val="center"/>
    </w:pPr>
    <w:rPr>
      <w:rFonts w:ascii="Gill Sans" w:hAnsi="Gill Sans" w:cs="Handwriting-Dakota"/>
      <w:color w:val="2F5496" w:themeColor="accent5" w:themeShade="BF"/>
      <w:sz w:val="28"/>
      <w:szCs w:val="32"/>
      <w:lang w:val="en-US" w:bidi="en-US"/>
    </w:rPr>
  </w:style>
  <w:style w:type="paragraph" w:customStyle="1" w:styleId="BlockQuoteAuthor">
    <w:name w:val="Block Quote Author"/>
    <w:basedOn w:val="BlockQuote"/>
    <w:next w:val="Body"/>
    <w:qFormat/>
    <w:rsid w:val="00B7776D"/>
    <w:pPr>
      <w:spacing w:before="0" w:after="500" w:line="240" w:lineRule="auto"/>
    </w:pPr>
    <w:rPr>
      <w:i/>
      <w:sz w:val="20"/>
      <w:szCs w:val="24"/>
    </w:rPr>
  </w:style>
  <w:style w:type="paragraph" w:customStyle="1" w:styleId="BulletIndent3">
    <w:name w:val="Bullet Indent 3"/>
    <w:basedOn w:val="Body"/>
    <w:qFormat/>
    <w:rsid w:val="00B7776D"/>
    <w:pPr>
      <w:numPr>
        <w:numId w:val="9"/>
      </w:numPr>
      <w:spacing w:before="40"/>
      <w:ind w:left="748" w:hanging="187"/>
    </w:pPr>
  </w:style>
  <w:style w:type="paragraph" w:customStyle="1" w:styleId="BodyforLegal">
    <w:name w:val="Body for Legal"/>
    <w:basedOn w:val="Body"/>
    <w:next w:val="Heading5"/>
    <w:rsid w:val="00B7776D"/>
    <w:pPr>
      <w:spacing w:line="288" w:lineRule="auto"/>
      <w:jc w:val="both"/>
    </w:pPr>
    <w:rPr>
      <w:sz w:val="20"/>
    </w:rPr>
  </w:style>
  <w:style w:type="table" w:styleId="LightShading-Accent5">
    <w:name w:val="Light Shading Accent 5"/>
    <w:basedOn w:val="TableNormal"/>
    <w:uiPriority w:val="60"/>
    <w:rsid w:val="00B7776D"/>
    <w:pPr>
      <w:spacing w:after="0" w:line="240" w:lineRule="auto"/>
    </w:pPr>
    <w:rPr>
      <w:rFonts w:ascii="Times New Roman" w:eastAsia="Times New Roman" w:hAnsi="Times New Roman" w:cs="Times New Roman"/>
      <w:color w:val="2F5496" w:themeColor="accent5" w:themeShade="BF"/>
      <w:sz w:val="20"/>
      <w:szCs w:val="20"/>
      <w:lang w:val="en-AU"/>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List-Accent5">
    <w:name w:val="Light List Accent 5"/>
    <w:basedOn w:val="TableNormal"/>
    <w:uiPriority w:val="61"/>
    <w:rsid w:val="00B7776D"/>
    <w:pPr>
      <w:spacing w:after="0" w:line="240" w:lineRule="auto"/>
    </w:pPr>
    <w:rPr>
      <w:rFonts w:ascii="Times New Roman" w:eastAsia="Times New Roman" w:hAnsi="Times New Roman" w:cs="Times New Roman"/>
      <w:sz w:val="20"/>
      <w:szCs w:val="20"/>
      <w:lang w:val="en-AU"/>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Caption">
    <w:name w:val="caption"/>
    <w:basedOn w:val="Normal"/>
    <w:next w:val="CaptionAcknowledgement"/>
    <w:uiPriority w:val="35"/>
    <w:unhideWhenUsed/>
    <w:qFormat/>
    <w:rsid w:val="00B7776D"/>
    <w:pPr>
      <w:spacing w:before="200" w:after="40"/>
      <w:jc w:val="center"/>
    </w:pPr>
    <w:rPr>
      <w:b/>
      <w:bCs/>
      <w:color w:val="2F5496" w:themeColor="accent5" w:themeShade="BF"/>
      <w:sz w:val="18"/>
      <w:szCs w:val="18"/>
    </w:rPr>
  </w:style>
  <w:style w:type="paragraph" w:customStyle="1" w:styleId="CoverSubHeadline">
    <w:name w:val="Cover Sub Headline"/>
    <w:basedOn w:val="Normal"/>
    <w:semiHidden/>
    <w:rsid w:val="00B7776D"/>
    <w:pPr>
      <w:spacing w:before="60" w:after="840"/>
    </w:pPr>
    <w:rPr>
      <w:rFonts w:ascii="Arial" w:eastAsia="Batang" w:hAnsi="Arial"/>
      <w:b/>
      <w:color w:val="969696"/>
      <w:sz w:val="32"/>
      <w:szCs w:val="32"/>
      <w:lang w:val="en-US" w:eastAsia="en-GB"/>
    </w:rPr>
  </w:style>
  <w:style w:type="paragraph" w:customStyle="1" w:styleId="BodyTitle2">
    <w:name w:val="Body Title 2"/>
    <w:basedOn w:val="Normal"/>
    <w:next w:val="BodyText"/>
    <w:rsid w:val="00B7776D"/>
    <w:pPr>
      <w:tabs>
        <w:tab w:val="left" w:pos="1134"/>
        <w:tab w:val="left" w:pos="2268"/>
      </w:tabs>
      <w:spacing w:before="180"/>
      <w:outlineLvl w:val="4"/>
    </w:pPr>
    <w:rPr>
      <w:rFonts w:ascii="Arial" w:hAnsi="Arial"/>
      <w:b/>
    </w:rPr>
  </w:style>
  <w:style w:type="paragraph" w:customStyle="1" w:styleId="body0">
    <w:name w:val="body"/>
    <w:basedOn w:val="Normal"/>
    <w:rsid w:val="00B7776D"/>
    <w:pPr>
      <w:spacing w:before="100" w:beforeAutospacing="1" w:after="100" w:afterAutospacing="1"/>
    </w:pPr>
    <w:rPr>
      <w:rFonts w:ascii="Times New Roman" w:hAnsi="Times New Roman"/>
      <w:sz w:val="24"/>
      <w:szCs w:val="24"/>
      <w:lang w:eastAsia="en-NZ"/>
    </w:rPr>
  </w:style>
  <w:style w:type="paragraph" w:customStyle="1" w:styleId="styleexample0">
    <w:name w:val="styleexample"/>
    <w:basedOn w:val="Normal"/>
    <w:rsid w:val="00B7776D"/>
    <w:pPr>
      <w:spacing w:before="100" w:beforeAutospacing="1" w:after="100" w:afterAutospacing="1"/>
    </w:pPr>
    <w:rPr>
      <w:rFonts w:ascii="Times New Roman" w:hAnsi="Times New Roman"/>
      <w:sz w:val="24"/>
      <w:szCs w:val="24"/>
      <w:lang w:eastAsia="en-NZ"/>
    </w:rPr>
  </w:style>
  <w:style w:type="paragraph" w:customStyle="1" w:styleId="Normalbodytext">
    <w:name w:val="Normal body text"/>
    <w:basedOn w:val="Normal"/>
    <w:rsid w:val="00B7776D"/>
    <w:pPr>
      <w:spacing w:before="120" w:after="240" w:line="280" w:lineRule="atLeast"/>
      <w:jc w:val="both"/>
    </w:pPr>
    <w:rPr>
      <w:rFonts w:ascii="Times New Roman" w:hAnsi="Times New Roman"/>
    </w:rPr>
  </w:style>
  <w:style w:type="paragraph" w:customStyle="1" w:styleId="Figurecaption">
    <w:name w:val="Figure caption"/>
    <w:basedOn w:val="Normalbodytext"/>
    <w:rsid w:val="00B7776D"/>
    <w:pPr>
      <w:spacing w:before="240" w:line="240" w:lineRule="auto"/>
      <w:ind w:hanging="1418"/>
    </w:pPr>
    <w:rPr>
      <w:b/>
    </w:rPr>
  </w:style>
  <w:style w:type="paragraph" w:styleId="ListParagraph">
    <w:name w:val="List Paragraph"/>
    <w:basedOn w:val="Normal"/>
    <w:uiPriority w:val="34"/>
    <w:qFormat/>
    <w:rsid w:val="00B7776D"/>
    <w:pPr>
      <w:ind w:left="720"/>
      <w:contextualSpacing/>
    </w:pPr>
  </w:style>
  <w:style w:type="paragraph" w:customStyle="1" w:styleId="Tabletext0">
    <w:name w:val="Table text"/>
    <w:basedOn w:val="Normalbodytext"/>
    <w:rsid w:val="00B7776D"/>
    <w:pPr>
      <w:keepNext/>
      <w:spacing w:before="0" w:after="0"/>
    </w:pPr>
    <w:rPr>
      <w:rFonts w:ascii="Arial" w:hAnsi="Arial"/>
      <w:sz w:val="18"/>
    </w:rPr>
  </w:style>
  <w:style w:type="paragraph" w:customStyle="1" w:styleId="Bullet">
    <w:name w:val="Bullet"/>
    <w:basedOn w:val="Normal"/>
    <w:rsid w:val="00B7776D"/>
    <w:pPr>
      <w:overflowPunct w:val="0"/>
      <w:autoSpaceDE w:val="0"/>
      <w:autoSpaceDN w:val="0"/>
      <w:adjustRightInd w:val="0"/>
      <w:spacing w:before="120" w:line="360" w:lineRule="atLeast"/>
      <w:ind w:left="2880" w:hanging="280"/>
      <w:textAlignment w:val="baseline"/>
    </w:pPr>
    <w:rPr>
      <w:rFonts w:ascii="Times New Roman" w:hAnsi="Times New Roman"/>
      <w:sz w:val="24"/>
      <w:lang w:val="en-US"/>
    </w:rPr>
  </w:style>
  <w:style w:type="paragraph" w:customStyle="1" w:styleId="note0">
    <w:name w:val="note"/>
    <w:basedOn w:val="Normal"/>
    <w:rsid w:val="00B7776D"/>
    <w:pPr>
      <w:spacing w:before="100" w:beforeAutospacing="1" w:after="100" w:afterAutospacing="1"/>
    </w:pPr>
    <w:rPr>
      <w:rFonts w:ascii="Times New Roman" w:hAnsi="Times New Roman"/>
      <w:sz w:val="24"/>
      <w:szCs w:val="24"/>
      <w:lang w:eastAsia="en-NZ"/>
    </w:rPr>
  </w:style>
  <w:style w:type="character" w:customStyle="1" w:styleId="apple-style-span">
    <w:name w:val="apple-style-span"/>
    <w:basedOn w:val="DefaultParagraphFont"/>
    <w:rsid w:val="00B7776D"/>
  </w:style>
  <w:style w:type="paragraph" w:styleId="BodyText3">
    <w:name w:val="Body Text 3"/>
    <w:basedOn w:val="Normal"/>
    <w:link w:val="BodyText3Char"/>
    <w:rsid w:val="00B777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Times New Roman" w:hAnsi="Times New Roman"/>
      <w:b/>
      <w:bCs/>
    </w:rPr>
  </w:style>
  <w:style w:type="character" w:customStyle="1" w:styleId="BodyText3Char">
    <w:name w:val="Body Text 3 Char"/>
    <w:basedOn w:val="DefaultParagraphFont"/>
    <w:link w:val="BodyText3"/>
    <w:rsid w:val="00B7776D"/>
    <w:rPr>
      <w:rFonts w:ascii="Times New Roman" w:eastAsia="Times New Roman" w:hAnsi="Times New Roman" w:cs="Times New Roman"/>
      <w:b/>
      <w:bCs/>
      <w:color w:val="000000"/>
      <w:sz w:val="20"/>
      <w:szCs w:val="20"/>
      <w:lang w:val="en-GB"/>
    </w:rPr>
  </w:style>
  <w:style w:type="paragraph" w:customStyle="1" w:styleId="bullet1">
    <w:name w:val="bullet1"/>
    <w:basedOn w:val="Normal"/>
    <w:rsid w:val="00B7776D"/>
    <w:pPr>
      <w:spacing w:line="197" w:lineRule="auto"/>
      <w:ind w:left="792" w:hanging="360"/>
    </w:pPr>
    <w:rPr>
      <w:rFonts w:ascii="Times New Roman" w:hAnsi="Times New Roman"/>
      <w:i/>
      <w:sz w:val="24"/>
      <w:lang w:val="en-US"/>
    </w:rPr>
  </w:style>
  <w:style w:type="character" w:styleId="CommentReference">
    <w:name w:val="annotation reference"/>
    <w:uiPriority w:val="99"/>
    <w:semiHidden/>
    <w:unhideWhenUsed/>
    <w:rsid w:val="00B7776D"/>
    <w:rPr>
      <w:sz w:val="18"/>
      <w:szCs w:val="18"/>
    </w:rPr>
  </w:style>
  <w:style w:type="paragraph" w:styleId="CommentText">
    <w:name w:val="annotation text"/>
    <w:basedOn w:val="Normal"/>
    <w:link w:val="CommentTextChar"/>
    <w:uiPriority w:val="99"/>
    <w:semiHidden/>
    <w:unhideWhenUsed/>
    <w:rsid w:val="00B7776D"/>
    <w:rPr>
      <w:sz w:val="24"/>
      <w:szCs w:val="24"/>
    </w:rPr>
  </w:style>
  <w:style w:type="character" w:customStyle="1" w:styleId="CommentTextChar">
    <w:name w:val="Comment Text Char"/>
    <w:basedOn w:val="DefaultParagraphFont"/>
    <w:link w:val="CommentText"/>
    <w:uiPriority w:val="99"/>
    <w:semiHidden/>
    <w:rsid w:val="00B7776D"/>
    <w:rPr>
      <w:rFonts w:ascii="Calibri" w:eastAsia="Times New Roman" w:hAnsi="Calibri" w:cs="Times New Roman"/>
      <w:color w:val="000000"/>
      <w:sz w:val="24"/>
      <w:szCs w:val="24"/>
      <w:lang w:val="en-GB"/>
    </w:rPr>
  </w:style>
  <w:style w:type="paragraph" w:styleId="CommentSubject">
    <w:name w:val="annotation subject"/>
    <w:basedOn w:val="CommentText"/>
    <w:next w:val="CommentText"/>
    <w:link w:val="CommentSubjectChar"/>
    <w:uiPriority w:val="99"/>
    <w:semiHidden/>
    <w:unhideWhenUsed/>
    <w:rsid w:val="00B7776D"/>
    <w:rPr>
      <w:b/>
      <w:bCs/>
      <w:sz w:val="20"/>
      <w:szCs w:val="20"/>
    </w:rPr>
  </w:style>
  <w:style w:type="character" w:customStyle="1" w:styleId="CommentSubjectChar">
    <w:name w:val="Comment Subject Char"/>
    <w:basedOn w:val="CommentTextChar"/>
    <w:link w:val="CommentSubject"/>
    <w:uiPriority w:val="99"/>
    <w:semiHidden/>
    <w:rsid w:val="00B7776D"/>
    <w:rPr>
      <w:rFonts w:ascii="Calibri" w:eastAsia="Times New Roman" w:hAnsi="Calibri" w:cs="Times New Roman"/>
      <w:b/>
      <w:bCs/>
      <w:color w:val="000000"/>
      <w:sz w:val="20"/>
      <w:szCs w:val="20"/>
      <w:lang w:val="en-GB"/>
    </w:rPr>
  </w:style>
  <w:style w:type="paragraph" w:customStyle="1" w:styleId="BulletIndent1Note">
    <w:name w:val="Bullet Indent 1 Note"/>
    <w:basedOn w:val="ProcedureResult"/>
    <w:next w:val="BulletIndent1"/>
    <w:rsid w:val="00B7776D"/>
    <w:pPr>
      <w:ind w:left="374"/>
    </w:pPr>
    <w:rPr>
      <w:noProof/>
    </w:rPr>
  </w:style>
  <w:style w:type="paragraph" w:customStyle="1" w:styleId="BulletIndent2Note">
    <w:name w:val="Bullet Indent 2 Note"/>
    <w:basedOn w:val="BulletIndent1Note"/>
    <w:next w:val="BulletIndent2"/>
    <w:rsid w:val="00B7776D"/>
    <w:pPr>
      <w:ind w:left="561"/>
    </w:pPr>
  </w:style>
  <w:style w:type="paragraph" w:customStyle="1" w:styleId="BulletIndent3Note">
    <w:name w:val="Bullet Indent 3 Note"/>
    <w:basedOn w:val="BulletIndent2Note"/>
    <w:next w:val="BulletIndent3"/>
    <w:rsid w:val="00B7776D"/>
    <w:pPr>
      <w:ind w:left="754"/>
    </w:pPr>
  </w:style>
  <w:style w:type="paragraph" w:customStyle="1" w:styleId="CaptionAcknowledgement">
    <w:name w:val="Caption Acknowledgement"/>
    <w:basedOn w:val="Caption"/>
    <w:next w:val="Body"/>
    <w:rsid w:val="00B7776D"/>
    <w:pPr>
      <w:spacing w:before="0" w:after="120"/>
    </w:pPr>
    <w:rPr>
      <w:b w:val="0"/>
      <w:i/>
    </w:rPr>
  </w:style>
  <w:style w:type="paragraph" w:styleId="PlainText">
    <w:name w:val="Plain Text"/>
    <w:basedOn w:val="Normal"/>
    <w:link w:val="PlainTextChar"/>
    <w:rsid w:val="00B7776D"/>
    <w:rPr>
      <w:rFonts w:ascii="Courier New" w:hAnsi="Courier New" w:cs="Courier New"/>
      <w:lang w:eastAsia="en-GB"/>
    </w:rPr>
  </w:style>
  <w:style w:type="character" w:customStyle="1" w:styleId="PlainTextChar">
    <w:name w:val="Plain Text Char"/>
    <w:basedOn w:val="DefaultParagraphFont"/>
    <w:link w:val="PlainText"/>
    <w:rsid w:val="00B7776D"/>
    <w:rPr>
      <w:rFonts w:ascii="Courier New" w:eastAsia="Times New Roman" w:hAnsi="Courier New" w:cs="Courier New"/>
      <w:color w:val="000000"/>
      <w:sz w:val="20"/>
      <w:szCs w:val="20"/>
      <w:lang w:val="en-GB" w:eastAsia="en-GB"/>
    </w:rPr>
  </w:style>
  <w:style w:type="paragraph" w:styleId="Title">
    <w:name w:val="Title"/>
    <w:basedOn w:val="Normal"/>
    <w:next w:val="Subtitle"/>
    <w:link w:val="TitleChar"/>
    <w:qFormat/>
    <w:rsid w:val="00B7776D"/>
    <w:pPr>
      <w:suppressAutoHyphens/>
      <w:jc w:val="center"/>
    </w:pPr>
    <w:rPr>
      <w:rFonts w:ascii="Times New Roman" w:hAnsi="Times New Roman"/>
      <w:kern w:val="1"/>
      <w:sz w:val="28"/>
      <w:u w:val="single"/>
      <w:lang w:val="en-US" w:eastAsia="ar-SA"/>
    </w:rPr>
  </w:style>
  <w:style w:type="character" w:customStyle="1" w:styleId="TitleChar">
    <w:name w:val="Title Char"/>
    <w:basedOn w:val="DefaultParagraphFont"/>
    <w:link w:val="Title"/>
    <w:rsid w:val="00B7776D"/>
    <w:rPr>
      <w:rFonts w:ascii="Times New Roman" w:eastAsia="Times New Roman" w:hAnsi="Times New Roman" w:cs="Times New Roman"/>
      <w:color w:val="000000"/>
      <w:kern w:val="1"/>
      <w:sz w:val="28"/>
      <w:szCs w:val="20"/>
      <w:u w:val="single"/>
      <w:lang w:val="en-US" w:eastAsia="ar-SA"/>
    </w:rPr>
  </w:style>
  <w:style w:type="paragraph" w:styleId="Subtitle">
    <w:name w:val="Subtitle"/>
    <w:basedOn w:val="Normal"/>
    <w:next w:val="Normal"/>
    <w:link w:val="SubtitleChar"/>
    <w:uiPriority w:val="11"/>
    <w:rsid w:val="00B7776D"/>
    <w:pPr>
      <w:numPr>
        <w:ilvl w:val="1"/>
      </w:numPr>
    </w:pPr>
    <w:rPr>
      <w:i/>
      <w:iCs/>
      <w:color w:val="4F81BD"/>
      <w:spacing w:val="15"/>
      <w:sz w:val="24"/>
      <w:szCs w:val="24"/>
    </w:rPr>
  </w:style>
  <w:style w:type="character" w:customStyle="1" w:styleId="SubtitleChar">
    <w:name w:val="Subtitle Char"/>
    <w:basedOn w:val="DefaultParagraphFont"/>
    <w:link w:val="Subtitle"/>
    <w:uiPriority w:val="11"/>
    <w:rsid w:val="00B7776D"/>
    <w:rPr>
      <w:rFonts w:ascii="Calibri" w:eastAsia="Times New Roman" w:hAnsi="Calibri" w:cs="Times New Roman"/>
      <w:i/>
      <w:iCs/>
      <w:color w:val="4F81BD"/>
      <w:spacing w:val="15"/>
      <w:sz w:val="24"/>
      <w:szCs w:val="24"/>
      <w:lang w:val="en-GB"/>
    </w:rPr>
  </w:style>
  <w:style w:type="paragraph" w:customStyle="1" w:styleId="BulletIndent1forTable">
    <w:name w:val="Bullet Indent 1 for Table"/>
    <w:basedOn w:val="BodyforTable"/>
    <w:rsid w:val="00B7776D"/>
    <w:pPr>
      <w:numPr>
        <w:numId w:val="8"/>
      </w:numPr>
      <w:spacing w:before="40"/>
      <w:ind w:left="374" w:hanging="187"/>
    </w:pPr>
  </w:style>
  <w:style w:type="paragraph" w:customStyle="1" w:styleId="bulletindent10">
    <w:name w:val="bulletindent1"/>
    <w:basedOn w:val="Normal"/>
    <w:uiPriority w:val="99"/>
    <w:rsid w:val="00B7776D"/>
    <w:pPr>
      <w:spacing w:before="40"/>
      <w:ind w:left="374" w:hanging="187"/>
    </w:pPr>
    <w:rPr>
      <w:rFonts w:cs="Calibri"/>
      <w:color w:val="0D0D0D"/>
      <w:lang w:eastAsia="en-NZ"/>
    </w:rPr>
  </w:style>
  <w:style w:type="paragraph" w:customStyle="1" w:styleId="bulletindent20">
    <w:name w:val="bulletindent2"/>
    <w:basedOn w:val="Normal"/>
    <w:uiPriority w:val="99"/>
    <w:rsid w:val="00B7776D"/>
    <w:pPr>
      <w:spacing w:before="40"/>
      <w:ind w:left="561" w:hanging="187"/>
    </w:pPr>
    <w:rPr>
      <w:rFonts w:cs="Calibri"/>
      <w:color w:val="0D0D0D"/>
      <w:lang w:eastAsia="en-NZ"/>
    </w:rPr>
  </w:style>
  <w:style w:type="paragraph" w:customStyle="1" w:styleId="Heading4Plain">
    <w:name w:val="Heading 4 Plain"/>
    <w:basedOn w:val="Body"/>
    <w:next w:val="Body"/>
    <w:rsid w:val="00B7776D"/>
    <w:pPr>
      <w:tabs>
        <w:tab w:val="left" w:pos="567"/>
      </w:tabs>
      <w:spacing w:before="200"/>
    </w:pPr>
    <w:rPr>
      <w:rFonts w:ascii="Century Gothic" w:hAnsi="Century Gothic"/>
      <w:color w:val="1F3864" w:themeColor="accent5" w:themeShade="80"/>
    </w:rPr>
  </w:style>
  <w:style w:type="paragraph" w:customStyle="1" w:styleId="Heading3Plain">
    <w:name w:val="Heading 3 Plain"/>
    <w:basedOn w:val="Body"/>
    <w:qFormat/>
    <w:rsid w:val="00B7776D"/>
    <w:pPr>
      <w:spacing w:before="320"/>
    </w:pPr>
    <w:rPr>
      <w:rFonts w:ascii="Century Gothic" w:hAnsi="Century Gothic"/>
      <w:color w:val="1F3864" w:themeColor="accent5" w:themeShade="80"/>
      <w:sz w:val="28"/>
    </w:rPr>
  </w:style>
  <w:style w:type="paragraph" w:customStyle="1" w:styleId="Heading2Plain">
    <w:name w:val="Heading 2 Plain"/>
    <w:basedOn w:val="Body"/>
    <w:rsid w:val="00B7776D"/>
    <w:pPr>
      <w:pageBreakBefore/>
      <w:spacing w:before="0" w:after="240"/>
      <w:outlineLvl w:val="1"/>
    </w:pPr>
    <w:rPr>
      <w:rFonts w:ascii="Century Gothic" w:hAnsi="Century Gothic"/>
      <w:color w:val="1F3864" w:themeColor="accent5" w:themeShade="80"/>
      <w:sz w:val="36"/>
    </w:rPr>
  </w:style>
  <w:style w:type="paragraph" w:customStyle="1" w:styleId="Heading1Plain">
    <w:name w:val="Heading 1 Plain"/>
    <w:basedOn w:val="Body"/>
    <w:next w:val="Heading2Plain"/>
    <w:rsid w:val="00B7776D"/>
    <w:pPr>
      <w:pageBreakBefore/>
      <w:spacing w:before="0" w:after="240"/>
    </w:pPr>
    <w:rPr>
      <w:rFonts w:ascii="Century Gothic" w:hAnsi="Century Gothic"/>
      <w:color w:val="1F3864" w:themeColor="accent5" w:themeShade="80"/>
      <w:sz w:val="40"/>
    </w:rPr>
  </w:style>
  <w:style w:type="table" w:styleId="MediumList2-Accent5">
    <w:name w:val="Medium List 2 Accent 5"/>
    <w:basedOn w:val="TableNormal"/>
    <w:uiPriority w:val="66"/>
    <w:rsid w:val="00B7776D"/>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styleId="Revision">
    <w:name w:val="Revision"/>
    <w:hidden/>
    <w:uiPriority w:val="99"/>
    <w:semiHidden/>
    <w:rsid w:val="00B7776D"/>
    <w:pPr>
      <w:spacing w:after="0" w:line="240" w:lineRule="auto"/>
    </w:pPr>
    <w:rPr>
      <w:rFonts w:ascii="Calibri" w:eastAsia="Times New Roman" w:hAnsi="Calibri" w:cs="Times New Roman"/>
      <w:color w:val="000000"/>
      <w:sz w:val="20"/>
      <w:szCs w:val="20"/>
      <w:lang w:val="en-GB"/>
    </w:rPr>
  </w:style>
  <w:style w:type="character" w:styleId="PlaceholderText">
    <w:name w:val="Placeholder Text"/>
    <w:uiPriority w:val="99"/>
    <w:semiHidden/>
    <w:rsid w:val="00B7776D"/>
    <w:rPr>
      <w:color w:val="808080"/>
    </w:rPr>
  </w:style>
  <w:style w:type="paragraph" w:styleId="NormalWeb">
    <w:name w:val="Normal (Web)"/>
    <w:basedOn w:val="Normal"/>
    <w:uiPriority w:val="99"/>
    <w:semiHidden/>
    <w:unhideWhenUsed/>
    <w:rsid w:val="00B7776D"/>
    <w:pPr>
      <w:spacing w:before="100" w:beforeAutospacing="1" w:after="360"/>
    </w:pPr>
    <w:rPr>
      <w:rFonts w:ascii="Times New Roman" w:hAnsi="Times New Roman"/>
      <w:color w:val="auto"/>
      <w:sz w:val="21"/>
      <w:szCs w:val="21"/>
      <w:lang w:val="en-NZ" w:eastAsia="en-NZ"/>
    </w:rPr>
  </w:style>
  <w:style w:type="paragraph" w:customStyle="1" w:styleId="DocumentSub-Title">
    <w:name w:val="Document Sub-Title"/>
    <w:basedOn w:val="Heading3Plain"/>
    <w:rsid w:val="00B7776D"/>
    <w:pPr>
      <w:jc w:val="center"/>
    </w:pPr>
  </w:style>
  <w:style w:type="paragraph" w:styleId="EndnoteText">
    <w:name w:val="endnote text"/>
    <w:basedOn w:val="Normal"/>
    <w:link w:val="EndnoteTextChar"/>
    <w:uiPriority w:val="99"/>
    <w:unhideWhenUsed/>
    <w:rsid w:val="00B7776D"/>
    <w:rPr>
      <w:sz w:val="24"/>
      <w:szCs w:val="24"/>
    </w:rPr>
  </w:style>
  <w:style w:type="character" w:customStyle="1" w:styleId="EndnoteTextChar">
    <w:name w:val="Endnote Text Char"/>
    <w:basedOn w:val="DefaultParagraphFont"/>
    <w:link w:val="EndnoteText"/>
    <w:uiPriority w:val="99"/>
    <w:rsid w:val="00B7776D"/>
    <w:rPr>
      <w:rFonts w:ascii="Calibri" w:eastAsia="Times New Roman" w:hAnsi="Calibri" w:cs="Times New Roman"/>
      <w:color w:val="000000"/>
      <w:sz w:val="24"/>
      <w:szCs w:val="24"/>
      <w:lang w:val="en-GB"/>
    </w:rPr>
  </w:style>
  <w:style w:type="character" w:styleId="EndnoteReference">
    <w:name w:val="endnote reference"/>
    <w:basedOn w:val="DefaultParagraphFont"/>
    <w:uiPriority w:val="99"/>
    <w:unhideWhenUsed/>
    <w:rsid w:val="00B777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21</Pages>
  <Words>3640</Words>
  <Characters>20750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NIWA</Company>
  <LinksUpToDate>false</LinksUpToDate>
  <CharactersWithSpaces>24342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Baddock</dc:creator>
  <cp:keywords/>
  <dc:description/>
  <cp:lastModifiedBy>Evan Baddock</cp:lastModifiedBy>
  <cp:revision>3</cp:revision>
  <dcterms:created xsi:type="dcterms:W3CDTF">2017-02-08T22:30:00Z</dcterms:created>
  <dcterms:modified xsi:type="dcterms:W3CDTF">2017-03-23T20:50:00Z</dcterms:modified>
</cp:coreProperties>
</file>