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69" w:rsidRDefault="002F4869" w:rsidP="002F4869">
      <w:pPr>
        <w:pStyle w:val="Heading2"/>
        <w:numPr>
          <w:ilvl w:val="0"/>
          <w:numId w:val="0"/>
        </w:numPr>
        <w:ind w:left="-709"/>
      </w:pPr>
      <w:bookmarkStart w:id="0" w:name="_Toc180236843"/>
      <w:bookmarkStart w:id="1" w:name="_Toc180286031"/>
      <w:bookmarkStart w:id="2" w:name="_Toc180286648"/>
      <w:bookmarkStart w:id="3" w:name="_Toc212177811"/>
      <w:bookmarkStart w:id="4" w:name="_Toc215287019"/>
      <w:bookmarkStart w:id="5" w:name="_Toc396395241"/>
      <w:r>
        <w:t>Primary Reference</w:t>
      </w:r>
      <w:bookmarkEnd w:id="0"/>
      <w:bookmarkEnd w:id="1"/>
      <w:bookmarkEnd w:id="2"/>
      <w:bookmarkEnd w:id="3"/>
      <w:bookmarkEnd w:id="4"/>
      <w:bookmarkEnd w:id="5"/>
    </w:p>
    <w:p w:rsidR="002F4869" w:rsidRDefault="002F4869" w:rsidP="002F4869">
      <w:pPr>
        <w:pStyle w:val="Heading3"/>
        <w:numPr>
          <w:ilvl w:val="0"/>
          <w:numId w:val="0"/>
        </w:numPr>
        <w:ind w:left="-578"/>
      </w:pPr>
      <w:r>
        <w:t>Local Datum</w:t>
      </w:r>
    </w:p>
    <w:p w:rsidR="002F4869" w:rsidRDefault="002F4869" w:rsidP="002F4869">
      <w:pPr>
        <w:pStyle w:val="Body"/>
      </w:pPr>
      <w:r>
        <w:t>Any w</w:t>
      </w:r>
      <w:r w:rsidRPr="00625CD9">
        <w:t xml:space="preserve">ater-level </w:t>
      </w:r>
      <w:r>
        <w:t>measurement</w:t>
      </w:r>
      <w:r w:rsidRPr="00625CD9">
        <w:t xml:space="preserve"> shall be </w:t>
      </w:r>
      <w:r>
        <w:t xml:space="preserve">referenced using a local datum that is </w:t>
      </w:r>
      <w:r w:rsidRPr="00625CD9">
        <w:t xml:space="preserve">established on site </w:t>
      </w:r>
      <w:r w:rsidRPr="00291483">
        <w:t>using</w:t>
      </w:r>
      <w:r>
        <w:t xml:space="preserve"> </w:t>
      </w:r>
      <w:r w:rsidRPr="00625CD9">
        <w:t xml:space="preserve">at least three benchmarks (BM’s). </w:t>
      </w:r>
    </w:p>
    <w:p w:rsidR="002F4869" w:rsidRDefault="002F4869" w:rsidP="002F4869">
      <w:pPr>
        <w:pStyle w:val="Note"/>
      </w:pPr>
      <w:r>
        <w:t>Note:</w:t>
      </w:r>
      <w:r>
        <w:tab/>
      </w:r>
      <w:r w:rsidRPr="00625CD9">
        <w:t xml:space="preserve">Three </w:t>
      </w:r>
      <w:r>
        <w:t xml:space="preserve">benchmarks </w:t>
      </w:r>
      <w:r w:rsidRPr="00625CD9">
        <w:t xml:space="preserve">are essential to </w:t>
      </w:r>
      <w:r>
        <w:t xml:space="preserve">resolve </w:t>
      </w:r>
      <w:r w:rsidRPr="00625CD9">
        <w:t xml:space="preserve">the cause of any discrepancy in levels that may occur over time, by the movement of one or more parts of the installation. </w:t>
      </w:r>
    </w:p>
    <w:p w:rsidR="002F4869" w:rsidRDefault="002F4869" w:rsidP="002F4869">
      <w:pPr>
        <w:pStyle w:val="Body"/>
      </w:pPr>
      <w:r>
        <w:t>A survey grade GPS can be used to establish the approximate level of a primary benchmark. However the vertical accuracy is unlikely to be adequate for levelling between benchmarks and staff gauge(s).</w:t>
      </w:r>
    </w:p>
    <w:p w:rsidR="002F4869" w:rsidRPr="00650EE5" w:rsidRDefault="002F4869" w:rsidP="002F4869">
      <w:pPr>
        <w:pStyle w:val="Body"/>
      </w:pPr>
      <w:r>
        <w:t>All components shall be levelled in from the primary datum, using traditional survey methods.</w:t>
      </w:r>
    </w:p>
    <w:p w:rsidR="002F4869" w:rsidRDefault="002F4869" w:rsidP="002F4869">
      <w:pPr>
        <w:pStyle w:val="Heading3"/>
        <w:numPr>
          <w:ilvl w:val="0"/>
          <w:numId w:val="0"/>
        </w:numPr>
        <w:ind w:left="-578"/>
      </w:pPr>
      <w:r>
        <w:t>Assumed Datum</w:t>
      </w:r>
    </w:p>
    <w:p w:rsidR="002F4869" w:rsidRDefault="002F4869" w:rsidP="002F4869">
      <w:pPr>
        <w:pStyle w:val="Body"/>
      </w:pPr>
      <w:r w:rsidRPr="005A643D">
        <w:t>When establishing an assumed datum, an assumed level</w:t>
      </w:r>
      <w:r>
        <w:t xml:space="preserve"> shall be conferred, for example</w:t>
      </w:r>
      <w:r w:rsidRPr="005A643D">
        <w:t>, 100.000 m</w:t>
      </w:r>
      <w:r>
        <w:t>etres</w:t>
      </w:r>
      <w:r w:rsidRPr="005A643D">
        <w:t xml:space="preserve"> to the most immovable of the site's benchmarks, and level in the other benchmarks and installations to this. </w:t>
      </w:r>
    </w:p>
    <w:p w:rsidR="002F4869" w:rsidRPr="005A643D" w:rsidRDefault="002F4869" w:rsidP="002F4869">
      <w:pPr>
        <w:pStyle w:val="Body"/>
      </w:pPr>
      <w:r w:rsidRPr="005A643D">
        <w:t>100.000 m</w:t>
      </w:r>
      <w:r>
        <w:t>etres</w:t>
      </w:r>
      <w:r w:rsidRPr="005A643D">
        <w:t xml:space="preserve"> is a useful assumed level to choose, unless the site is at </w:t>
      </w:r>
      <w:r>
        <w:t>a comparable elevation</w:t>
      </w:r>
      <w:r w:rsidRPr="005A643D">
        <w:t xml:space="preserve"> above </w:t>
      </w:r>
      <w:r>
        <w:t xml:space="preserve">mean </w:t>
      </w:r>
      <w:r w:rsidRPr="005A643D">
        <w:t>sea-level</w:t>
      </w:r>
      <w:r>
        <w:t xml:space="preserve"> (M.S.L.)</w:t>
      </w:r>
      <w:r w:rsidRPr="005A643D">
        <w:t>, in which case it may at some time be confused with M.S.L. datum, and thus an alternative value should be used.</w:t>
      </w:r>
      <w:r>
        <w:t xml:space="preserve"> </w:t>
      </w:r>
    </w:p>
    <w:p w:rsidR="002F4869" w:rsidRPr="00625CD9" w:rsidRDefault="002F4869" w:rsidP="002F4869">
      <w:pPr>
        <w:pStyle w:val="Note"/>
      </w:pPr>
      <w:r>
        <w:t>Note:</w:t>
      </w:r>
      <w:r>
        <w:tab/>
      </w:r>
      <w:r w:rsidRPr="00625CD9">
        <w:t xml:space="preserve">An assumed datum </w:t>
      </w:r>
      <w:r>
        <w:t>may  be used instead of</w:t>
      </w:r>
      <w:r w:rsidRPr="00625CD9">
        <w:t xml:space="preserve"> one established to a proper surveyed datum, as in </w:t>
      </w:r>
      <w:r>
        <w:t xml:space="preserve">many </w:t>
      </w:r>
      <w:r w:rsidRPr="00625CD9">
        <w:t xml:space="preserve"> cases </w:t>
      </w:r>
      <w:r>
        <w:t xml:space="preserve">stage height </w:t>
      </w:r>
      <w:r w:rsidRPr="00625CD9">
        <w:t xml:space="preserve">is </w:t>
      </w:r>
      <w:r>
        <w:t xml:space="preserve">measured only to determine flow, </w:t>
      </w:r>
      <w:r w:rsidRPr="00625CD9">
        <w:t xml:space="preserve"> and the level itself is not the information required. A common exception to this is the case of reservoirs </w:t>
      </w:r>
      <w:r>
        <w:t xml:space="preserve">or groundwater stations </w:t>
      </w:r>
      <w:r w:rsidRPr="00625CD9">
        <w:t xml:space="preserve">where levels may be well defined in terms of a local or regional datum. </w:t>
      </w:r>
    </w:p>
    <w:p w:rsidR="002F4869" w:rsidRDefault="002F4869" w:rsidP="002F4869">
      <w:pPr>
        <w:pStyle w:val="Heading3"/>
        <w:numPr>
          <w:ilvl w:val="0"/>
          <w:numId w:val="0"/>
        </w:numPr>
        <w:ind w:left="-578"/>
      </w:pPr>
      <w:r>
        <w:t>Adopting a Recording Zero</w:t>
      </w:r>
    </w:p>
    <w:p w:rsidR="002F4869" w:rsidRDefault="002F4869" w:rsidP="002F4869">
      <w:pPr>
        <w:pStyle w:val="Body"/>
      </w:pPr>
      <w:r>
        <w:t>The recording zero of a station</w:t>
      </w:r>
      <w:r w:rsidRPr="00061A36">
        <w:t xml:space="preserve"> </w:t>
      </w:r>
      <w:r>
        <w:t>shall:</w:t>
      </w:r>
    </w:p>
    <w:p w:rsidR="002F4869" w:rsidRDefault="002F4869" w:rsidP="002F4869">
      <w:pPr>
        <w:pStyle w:val="BulletIndent1"/>
      </w:pPr>
      <w:r w:rsidRPr="00625CD9">
        <w:t xml:space="preserve">be </w:t>
      </w:r>
      <w:r>
        <w:t xml:space="preserve">placed </w:t>
      </w:r>
      <w:r w:rsidRPr="00625CD9">
        <w:t>below the lowest level to which the water</w:t>
      </w:r>
      <w:r>
        <w:t xml:space="preserve"> surface will fall, and</w:t>
      </w:r>
    </w:p>
    <w:p w:rsidR="002F4869" w:rsidRDefault="002F4869" w:rsidP="002F4869">
      <w:pPr>
        <w:pStyle w:val="BulletIndent1"/>
      </w:pPr>
      <w:r>
        <w:t>take into account possible degradation at the site that may lower the water level below the recording zero.</w:t>
      </w:r>
    </w:p>
    <w:p w:rsidR="002F4869" w:rsidRDefault="002F4869" w:rsidP="002F4869">
      <w:pPr>
        <w:pStyle w:val="Body"/>
      </w:pPr>
      <w:r>
        <w:t>When adopting the recording zero, choose one that is:</w:t>
      </w:r>
    </w:p>
    <w:p w:rsidR="002F4869" w:rsidRDefault="002F4869" w:rsidP="002F4869">
      <w:pPr>
        <w:pStyle w:val="BulletIndent1"/>
      </w:pPr>
      <w:r>
        <w:t>a sensible number where possible, e.g., 100.000 metres, and</w:t>
      </w:r>
    </w:p>
    <w:p w:rsidR="002F4869" w:rsidRDefault="002F4869" w:rsidP="002F4869">
      <w:pPr>
        <w:pStyle w:val="BulletIndent1"/>
      </w:pPr>
      <w:r>
        <w:t>below the anticipated minimum water level.</w:t>
      </w:r>
    </w:p>
    <w:p w:rsidR="002F4869" w:rsidRDefault="002F4869" w:rsidP="002F4869">
      <w:pPr>
        <w:pStyle w:val="Body"/>
      </w:pPr>
      <w:r w:rsidRPr="001A7E24">
        <w:rPr>
          <w:rStyle w:val="CommentReference"/>
          <w:i/>
          <w:color w:val="000000"/>
        </w:rPr>
        <w:t xml:space="preserve"> </w:t>
      </w:r>
      <w:r>
        <w:t>Note: An important factor is that the water level will not be likely to fall to negative values over the life of the station.</w:t>
      </w:r>
      <w:bookmarkStart w:id="6" w:name="_Toc212177812"/>
      <w:bookmarkStart w:id="7" w:name="_Toc215287020"/>
      <w:r>
        <w:t xml:space="preserve"> </w:t>
      </w:r>
    </w:p>
    <w:p w:rsidR="002F4869" w:rsidRDefault="002F4869" w:rsidP="002F4869">
      <w:pPr>
        <w:pStyle w:val="Body"/>
      </w:pPr>
    </w:p>
    <w:p w:rsidR="002F4869" w:rsidRDefault="002F4869" w:rsidP="002F4869">
      <w:pPr>
        <w:pStyle w:val="Body"/>
      </w:pPr>
    </w:p>
    <w:p w:rsidR="002F4869" w:rsidRDefault="002F4869" w:rsidP="002F4869">
      <w:pPr>
        <w:pStyle w:val="Heading3"/>
        <w:numPr>
          <w:ilvl w:val="0"/>
          <w:numId w:val="0"/>
        </w:numPr>
        <w:ind w:left="-578"/>
      </w:pPr>
      <w:r w:rsidRPr="001F5C9F">
        <w:lastRenderedPageBreak/>
        <w:t>Equipment for Reference and Measuring</w:t>
      </w:r>
      <w:bookmarkEnd w:id="6"/>
      <w:bookmarkEnd w:id="7"/>
      <w:r>
        <w:t xml:space="preserve"> </w:t>
      </w:r>
    </w:p>
    <w:p w:rsidR="002F4869" w:rsidRDefault="002F4869" w:rsidP="002F4869">
      <w:pPr>
        <w:pStyle w:val="Heading4"/>
        <w:numPr>
          <w:ilvl w:val="0"/>
          <w:numId w:val="0"/>
        </w:numPr>
        <w:ind w:left="-578"/>
      </w:pPr>
      <w:r>
        <w:t>Basic Requirements for Collecting Water Level Data</w:t>
      </w:r>
    </w:p>
    <w:p w:rsidR="002F4869" w:rsidRDefault="002F4869" w:rsidP="002F4869">
      <w:pPr>
        <w:pStyle w:val="Body"/>
      </w:pPr>
      <w:r>
        <w:t xml:space="preserve">The collection of water level data, either manually or automatically, requires a range of instruments, or components, to be deployed at a site. </w:t>
      </w:r>
    </w:p>
    <w:p w:rsidR="002F4869" w:rsidRDefault="002F4869" w:rsidP="002F4869">
      <w:pPr>
        <w:pStyle w:val="Body"/>
      </w:pPr>
      <w:r>
        <w:t xml:space="preserve">For water level data to be useful, a permanent </w:t>
      </w:r>
      <w:r w:rsidRPr="00FF42DD">
        <w:t>datum</w:t>
      </w:r>
      <w:r>
        <w:t xml:space="preserve"> shall be maintained and specified accuracy limits shall be met. These details are documented in the station history file and metadata for individual sites.</w:t>
      </w:r>
    </w:p>
    <w:p w:rsidR="002F4869" w:rsidRDefault="002F4869" w:rsidP="001F2780">
      <w:pPr>
        <w:pStyle w:val="Heading4"/>
        <w:numPr>
          <w:ilvl w:val="0"/>
          <w:numId w:val="0"/>
        </w:numPr>
        <w:ind w:left="-578"/>
      </w:pPr>
      <w:r>
        <w:t>Reference Gauges</w:t>
      </w:r>
    </w:p>
    <w:p w:rsidR="002F4869" w:rsidRDefault="002F4869" w:rsidP="002F4869">
      <w:pPr>
        <w:pStyle w:val="Body"/>
      </w:pPr>
      <w:r w:rsidRPr="00585CA2">
        <w:t xml:space="preserve">The reference gauge is the means by which an instrument is referenced to </w:t>
      </w:r>
      <w:r>
        <w:t>the recording zero. At</w:t>
      </w:r>
      <w:r w:rsidRPr="00585CA2">
        <w:t xml:space="preserve"> least one reference gauge</w:t>
      </w:r>
      <w:r>
        <w:t xml:space="preserve"> shall be installed at each site. </w:t>
      </w:r>
    </w:p>
    <w:p w:rsidR="002F4869" w:rsidRDefault="002F4869" w:rsidP="002F4869">
      <w:pPr>
        <w:pStyle w:val="Body"/>
      </w:pPr>
      <w:r>
        <w:t>The reference gauge shall be:</w:t>
      </w:r>
      <w:r w:rsidRPr="00585CA2">
        <w:t xml:space="preserve"> </w:t>
      </w:r>
    </w:p>
    <w:p w:rsidR="002F4869" w:rsidRDefault="002F4869" w:rsidP="002F4869">
      <w:pPr>
        <w:pStyle w:val="BulletIndent1"/>
      </w:pPr>
      <w:r>
        <w:t>referenced to benchmarks</w:t>
      </w:r>
    </w:p>
    <w:p w:rsidR="002F4869" w:rsidRDefault="002F4869" w:rsidP="002F4869">
      <w:pPr>
        <w:pStyle w:val="BulletIndent1"/>
      </w:pPr>
      <w:r w:rsidRPr="00585CA2">
        <w:t>of robust and stable construction</w:t>
      </w:r>
    </w:p>
    <w:p w:rsidR="002F4869" w:rsidRDefault="002F4869" w:rsidP="002F4869">
      <w:pPr>
        <w:pStyle w:val="BulletIndent1"/>
      </w:pPr>
      <w:r>
        <w:t>readable to within 1 mm, and</w:t>
      </w:r>
    </w:p>
    <w:p w:rsidR="002F4869" w:rsidRPr="00585CA2" w:rsidRDefault="002F4869" w:rsidP="002F4869">
      <w:pPr>
        <w:pStyle w:val="BulletIndent1"/>
      </w:pPr>
      <w:r>
        <w:t>cover the full range of anticipated stage.</w:t>
      </w:r>
    </w:p>
    <w:p w:rsidR="002F4869" w:rsidRDefault="002F4869" w:rsidP="002F4869">
      <w:pPr>
        <w:pStyle w:val="Heading4"/>
        <w:numPr>
          <w:ilvl w:val="0"/>
          <w:numId w:val="0"/>
        </w:numPr>
        <w:ind w:left="-578"/>
      </w:pPr>
      <w:bookmarkStart w:id="8" w:name="_Toc180236838"/>
      <w:bookmarkStart w:id="9" w:name="_Toc180286026"/>
      <w:bookmarkStart w:id="10" w:name="_Toc180286643"/>
      <w:bookmarkStart w:id="11" w:name="_GoBack"/>
      <w:bookmarkEnd w:id="11"/>
      <w:r>
        <w:t>Primary Reference Gauges</w:t>
      </w:r>
    </w:p>
    <w:p w:rsidR="002F4869" w:rsidRDefault="002F4869" w:rsidP="002F4869">
      <w:pPr>
        <w:pStyle w:val="Body"/>
      </w:pPr>
      <w:r w:rsidRPr="00E87746">
        <w:t xml:space="preserve">The primary reference </w:t>
      </w:r>
      <w:r>
        <w:t xml:space="preserve">gauge </w:t>
      </w:r>
      <w:r w:rsidRPr="00E87746">
        <w:t>and the measured water levels are used to determine the stage height</w:t>
      </w:r>
      <w:r>
        <w:t>. The following are examples of primary reference gauges:</w:t>
      </w:r>
    </w:p>
    <w:p w:rsidR="002F4869" w:rsidRDefault="002F4869" w:rsidP="002F4869">
      <w:pPr>
        <w:pStyle w:val="BulletIndent1"/>
      </w:pPr>
      <w:r>
        <w:t>Staff gauge</w:t>
      </w:r>
    </w:p>
    <w:p w:rsidR="002F4869" w:rsidRDefault="002F4869" w:rsidP="002F4869">
      <w:pPr>
        <w:pStyle w:val="BulletIndent1"/>
      </w:pPr>
      <w:r>
        <w:t>Sloping staff gauge</w:t>
      </w:r>
    </w:p>
    <w:p w:rsidR="002F4869" w:rsidRDefault="002F4869" w:rsidP="002F4869">
      <w:pPr>
        <w:pStyle w:val="BulletIndent1"/>
      </w:pPr>
      <w:r>
        <w:t>Electric plumb bob</w:t>
      </w:r>
      <w:r w:rsidRPr="00625CD9">
        <w:t xml:space="preserve"> </w:t>
      </w:r>
    </w:p>
    <w:p w:rsidR="002F4869" w:rsidRDefault="002F4869" w:rsidP="002F4869">
      <w:pPr>
        <w:pStyle w:val="BulletIndent1"/>
      </w:pPr>
      <w:r>
        <w:t>Electronic water level indicators</w:t>
      </w:r>
    </w:p>
    <w:p w:rsidR="002F4869" w:rsidRDefault="002F4869" w:rsidP="002F4869">
      <w:pPr>
        <w:pStyle w:val="BulletIndent1Note"/>
      </w:pPr>
      <w:r>
        <w:t>For example: A groundwater probe.</w:t>
      </w:r>
    </w:p>
    <w:p w:rsidR="002F4869" w:rsidRPr="00625CD9" w:rsidRDefault="002F4869" w:rsidP="002F4869">
      <w:pPr>
        <w:pStyle w:val="Heading4"/>
        <w:numPr>
          <w:ilvl w:val="0"/>
          <w:numId w:val="0"/>
        </w:numPr>
        <w:ind w:left="-578"/>
        <w:rPr>
          <w:rFonts w:ascii="Cambria" w:hAnsi="Cambria"/>
        </w:rPr>
      </w:pPr>
      <w:r>
        <w:t>Equipment Selection</w:t>
      </w:r>
      <w:bookmarkEnd w:id="8"/>
      <w:bookmarkEnd w:id="9"/>
      <w:bookmarkEnd w:id="10"/>
    </w:p>
    <w:p w:rsidR="002F4869" w:rsidRDefault="002F4869" w:rsidP="002F4869">
      <w:pPr>
        <w:pStyle w:val="Body"/>
      </w:pPr>
      <w:r>
        <w:t>Any of the following devices may be used to measure water level:</w:t>
      </w:r>
    </w:p>
    <w:p w:rsidR="002F4869" w:rsidRDefault="002F4869" w:rsidP="002F4869">
      <w:pPr>
        <w:pStyle w:val="BulletIndent1"/>
      </w:pPr>
      <w:r>
        <w:t>Shaft encoder</w:t>
      </w:r>
    </w:p>
    <w:p w:rsidR="002F4869" w:rsidRDefault="002F4869" w:rsidP="002F4869">
      <w:pPr>
        <w:pStyle w:val="BulletIndent1"/>
      </w:pPr>
      <w:r>
        <w:t>Pressure transducer</w:t>
      </w:r>
    </w:p>
    <w:p w:rsidR="002F4869" w:rsidRDefault="002F4869" w:rsidP="002F4869">
      <w:pPr>
        <w:pStyle w:val="BulletIndent1"/>
      </w:pPr>
      <w:r>
        <w:t>Gas purge sensor</w:t>
      </w:r>
    </w:p>
    <w:p w:rsidR="002F4869" w:rsidRDefault="002F4869" w:rsidP="002F4869">
      <w:pPr>
        <w:pStyle w:val="BulletIndent1"/>
      </w:pPr>
      <w:r>
        <w:t>Acoustic transceiver</w:t>
      </w:r>
    </w:p>
    <w:p w:rsidR="002F4869" w:rsidRDefault="002F4869" w:rsidP="002F4869">
      <w:pPr>
        <w:pStyle w:val="BulletIndent1"/>
      </w:pPr>
      <w:r>
        <w:t>Radar</w:t>
      </w:r>
    </w:p>
    <w:p w:rsidR="002F4869" w:rsidRDefault="002F4869" w:rsidP="002F4869">
      <w:pPr>
        <w:pStyle w:val="Body"/>
      </w:pPr>
      <w:r>
        <w:t>W</w:t>
      </w:r>
      <w:r w:rsidRPr="00E01D2D">
        <w:t>hen establishing a station</w:t>
      </w:r>
      <w:r>
        <w:t xml:space="preserve"> </w:t>
      </w:r>
      <w:r w:rsidRPr="00E01D2D">
        <w:t xml:space="preserve">the sensing device </w:t>
      </w:r>
      <w:r>
        <w:t>and datalogger shall, where practicable, be selected to meet:</w:t>
      </w:r>
    </w:p>
    <w:p w:rsidR="002F4869" w:rsidRDefault="002F4869" w:rsidP="002F4869">
      <w:pPr>
        <w:pStyle w:val="BulletIndent1"/>
      </w:pPr>
      <w:r>
        <w:t>t</w:t>
      </w:r>
      <w:r w:rsidRPr="00E01D2D">
        <w:t xml:space="preserve">he accuracies </w:t>
      </w:r>
      <w:r>
        <w:t xml:space="preserve">and resolution </w:t>
      </w:r>
      <w:r w:rsidRPr="00E01D2D">
        <w:t xml:space="preserve">required </w:t>
      </w:r>
      <w:r>
        <w:t>by</w:t>
      </w:r>
      <w:r w:rsidRPr="00E01D2D">
        <w:t xml:space="preserve"> th</w:t>
      </w:r>
      <w:r>
        <w:t>is</w:t>
      </w:r>
      <w:r w:rsidRPr="00E01D2D">
        <w:t xml:space="preserve"> </w:t>
      </w:r>
      <w:r>
        <w:t>Standard</w:t>
      </w:r>
    </w:p>
    <w:p w:rsidR="002F4869" w:rsidRDefault="002F4869" w:rsidP="002F4869">
      <w:pPr>
        <w:pStyle w:val="BulletIndent1"/>
      </w:pPr>
      <w:r>
        <w:t>the full range required</w:t>
      </w:r>
    </w:p>
    <w:p w:rsidR="002F4869" w:rsidRDefault="002F4869" w:rsidP="002F4869">
      <w:pPr>
        <w:pStyle w:val="BulletIndent1"/>
      </w:pPr>
      <w:r>
        <w:t>any present and future (anticipated) data needs</w:t>
      </w:r>
      <w:r w:rsidRPr="00E01D2D">
        <w:t xml:space="preserve">, and </w:t>
      </w:r>
    </w:p>
    <w:p w:rsidR="002F4869" w:rsidRDefault="002F4869" w:rsidP="002F4869">
      <w:pPr>
        <w:pStyle w:val="BulletIndent1"/>
      </w:pPr>
      <w:r>
        <w:t>the time interval</w:t>
      </w:r>
      <w:r w:rsidRPr="00E01D2D">
        <w:t xml:space="preserve"> </w:t>
      </w:r>
      <w:r>
        <w:t>required to</w:t>
      </w:r>
      <w:r w:rsidRPr="00E01D2D">
        <w:t xml:space="preserve"> measure the fluctuations occurring at the station. </w:t>
      </w:r>
    </w:p>
    <w:p w:rsidR="002F4869" w:rsidRPr="008D7731" w:rsidRDefault="002F4869" w:rsidP="002F4869">
      <w:pPr>
        <w:pStyle w:val="Normalbodytext"/>
        <w:rPr>
          <w:rFonts w:ascii="Cambria" w:hAnsi="Cambria"/>
        </w:rPr>
      </w:pPr>
    </w:p>
    <w:p w:rsidR="002F4869" w:rsidRDefault="002F4869" w:rsidP="002F4869">
      <w:pPr>
        <w:pStyle w:val="Heading2"/>
        <w:numPr>
          <w:ilvl w:val="0"/>
          <w:numId w:val="0"/>
        </w:numPr>
        <w:ind w:left="-709"/>
        <w:rPr>
          <w:u w:val="single"/>
        </w:rPr>
      </w:pPr>
      <w:bookmarkStart w:id="12" w:name="_Toc180236844"/>
      <w:bookmarkStart w:id="13" w:name="_Toc180286032"/>
      <w:bookmarkStart w:id="14" w:name="_Toc180286649"/>
      <w:bookmarkStart w:id="15" w:name="_Toc212177813"/>
      <w:bookmarkStart w:id="16" w:name="_Toc215287021"/>
      <w:bookmarkStart w:id="17" w:name="_Toc396395242"/>
      <w:r>
        <w:lastRenderedPageBreak/>
        <w:t>Staff Gauges</w:t>
      </w:r>
      <w:bookmarkEnd w:id="12"/>
      <w:bookmarkEnd w:id="13"/>
      <w:bookmarkEnd w:id="14"/>
      <w:bookmarkEnd w:id="15"/>
      <w:bookmarkEnd w:id="16"/>
      <w:bookmarkEnd w:id="17"/>
    </w:p>
    <w:p w:rsidR="002F4869" w:rsidRDefault="002F4869" w:rsidP="002F4869">
      <w:pPr>
        <w:pStyle w:val="Body"/>
      </w:pPr>
      <w:r w:rsidRPr="00625CD9">
        <w:t>A staff gauge</w:t>
      </w:r>
      <w:r>
        <w:t>:</w:t>
      </w:r>
    </w:p>
    <w:p w:rsidR="002F4869" w:rsidRDefault="002F4869" w:rsidP="002F4869">
      <w:pPr>
        <w:pStyle w:val="BulletIndent1"/>
      </w:pPr>
      <w:r>
        <w:t xml:space="preserve">is </w:t>
      </w:r>
      <w:r w:rsidRPr="00625CD9">
        <w:t xml:space="preserve">a graduated staff </w:t>
      </w:r>
      <w:r>
        <w:t>that</w:t>
      </w:r>
      <w:r w:rsidRPr="00625CD9">
        <w:t xml:space="preserve"> is mounted</w:t>
      </w:r>
      <w:r>
        <w:t xml:space="preserve"> either vertically or inclined, and</w:t>
      </w:r>
    </w:p>
    <w:p w:rsidR="002F4869" w:rsidRDefault="002F4869" w:rsidP="002F4869">
      <w:pPr>
        <w:pStyle w:val="BulletIndent1"/>
      </w:pPr>
      <w:r>
        <w:t>provides an</w:t>
      </w:r>
      <w:r w:rsidRPr="00625CD9">
        <w:t xml:space="preserve"> inexpensive, simple, robust and absolute method of determining water level. </w:t>
      </w:r>
    </w:p>
    <w:p w:rsidR="002F4869" w:rsidRDefault="002F4869" w:rsidP="002F4869">
      <w:pPr>
        <w:pStyle w:val="Body"/>
      </w:pPr>
      <w:r w:rsidRPr="00625CD9">
        <w:t xml:space="preserve">At a site equipped with an automatic recorder, </w:t>
      </w:r>
      <w:r>
        <w:t>the staff gauge</w:t>
      </w:r>
      <w:r w:rsidRPr="00625CD9">
        <w:t xml:space="preserve"> provides an independent check </w:t>
      </w:r>
      <w:r>
        <w:t>on recorded water levels.</w:t>
      </w:r>
      <w:r w:rsidRPr="00BD2C6F">
        <w:t xml:space="preserve"> </w:t>
      </w:r>
    </w:p>
    <w:p w:rsidR="002F4869" w:rsidRDefault="002F4869" w:rsidP="002F4869">
      <w:pPr>
        <w:pStyle w:val="Body"/>
      </w:pPr>
      <w:r>
        <w:t>Generally, w</w:t>
      </w:r>
      <w:r w:rsidRPr="00625CD9">
        <w:t>ith a stilling well this</w:t>
      </w:r>
      <w:r>
        <w:t xml:space="preserve"> external staff gauge</w:t>
      </w:r>
      <w:r w:rsidRPr="00625CD9">
        <w:t xml:space="preserve"> is an essential check on whether the </w:t>
      </w:r>
      <w:r>
        <w:t>intake pipe is blocked by silt.</w:t>
      </w:r>
    </w:p>
    <w:p w:rsidR="002F4869" w:rsidRDefault="002F4869" w:rsidP="002F4869">
      <w:pPr>
        <w:pStyle w:val="Body"/>
      </w:pPr>
      <w:r>
        <w:t>Generally, w</w:t>
      </w:r>
      <w:r w:rsidRPr="00625CD9">
        <w:t xml:space="preserve">ith a transducer </w:t>
      </w:r>
      <w:r>
        <w:t xml:space="preserve">or gas bubbler orifice </w:t>
      </w:r>
      <w:r w:rsidRPr="00625CD9">
        <w:t>directly in the river</w:t>
      </w:r>
      <w:r>
        <w:t xml:space="preserve">, the staff gauge </w:t>
      </w:r>
      <w:r w:rsidRPr="00625CD9">
        <w:t xml:space="preserve">is the only </w:t>
      </w:r>
      <w:r>
        <w:t xml:space="preserve">easy </w:t>
      </w:r>
      <w:r w:rsidRPr="00625CD9">
        <w:t>direct check on its performance.</w:t>
      </w:r>
    </w:p>
    <w:p w:rsidR="002F4869" w:rsidRDefault="002F4869" w:rsidP="002F4869">
      <w:pPr>
        <w:pStyle w:val="Body"/>
      </w:pPr>
      <w:r w:rsidRPr="005A643D">
        <w:t xml:space="preserve">Where the range of water levels exceeds the capacity of a single </w:t>
      </w:r>
      <w:r>
        <w:t>vertical gauge, other gauges shall</w:t>
      </w:r>
      <w:r w:rsidRPr="005A643D">
        <w:t xml:space="preserve"> be installed</w:t>
      </w:r>
      <w:r>
        <w:t>,</w:t>
      </w:r>
      <w:r w:rsidRPr="005A643D">
        <w:t xml:space="preserve"> </w:t>
      </w:r>
      <w:r>
        <w:t>as much as practicable in</w:t>
      </w:r>
      <w:r w:rsidRPr="005A643D">
        <w:t xml:space="preserve"> line </w:t>
      </w:r>
      <w:r>
        <w:t>with the recorder</w:t>
      </w:r>
      <w:r w:rsidRPr="005A643D">
        <w:t xml:space="preserve"> cross-section</w:t>
      </w:r>
      <w:r>
        <w:t>.</w:t>
      </w:r>
      <w:r w:rsidRPr="005A643D">
        <w:t xml:space="preserve"> </w:t>
      </w:r>
    </w:p>
    <w:p w:rsidR="002F4869" w:rsidRPr="005A643D" w:rsidRDefault="002F4869" w:rsidP="002F4869">
      <w:pPr>
        <w:pStyle w:val="Body"/>
      </w:pPr>
      <w:r w:rsidRPr="00AF30C0">
        <w:t>The scales on a series of stepped staff gauges should overlap by not less than 15 cm.</w:t>
      </w:r>
    </w:p>
    <w:p w:rsidR="002F4869" w:rsidRDefault="002F4869" w:rsidP="002F4869">
      <w:pPr>
        <w:pStyle w:val="Heading3"/>
        <w:numPr>
          <w:ilvl w:val="0"/>
          <w:numId w:val="0"/>
        </w:numPr>
        <w:ind w:left="-578"/>
      </w:pPr>
      <w:bookmarkStart w:id="18" w:name="_Toc119936479"/>
      <w:bookmarkStart w:id="19" w:name="_Toc180236845"/>
      <w:bookmarkStart w:id="20" w:name="_Toc180286033"/>
      <w:bookmarkStart w:id="21" w:name="_Toc180286650"/>
      <w:r>
        <w:t>Usage</w:t>
      </w:r>
    </w:p>
    <w:p w:rsidR="002F4869" w:rsidRDefault="002F4869" w:rsidP="002F4869">
      <w:pPr>
        <w:pStyle w:val="Body"/>
      </w:pPr>
      <w:r w:rsidRPr="00625CD9">
        <w:t xml:space="preserve">A staff gauge </w:t>
      </w:r>
      <w:r>
        <w:t>shall</w:t>
      </w:r>
      <w:r w:rsidRPr="00625CD9">
        <w:t xml:space="preserve"> only</w:t>
      </w:r>
      <w:r>
        <w:t xml:space="preserve"> be used for spot measurements and shall include an estimate of uncertainty.</w:t>
      </w:r>
    </w:p>
    <w:p w:rsidR="002F4869" w:rsidRPr="00625CD9" w:rsidRDefault="002F4869" w:rsidP="002F4869">
      <w:pPr>
        <w:pStyle w:val="Note"/>
      </w:pPr>
      <w:r>
        <w:t>Note:</w:t>
      </w:r>
      <w:r>
        <w:tab/>
        <w:t>It can be</w:t>
      </w:r>
      <w:r w:rsidRPr="00625CD9">
        <w:t xml:space="preserve"> difficult to obtain readings in the field with a true r</w:t>
      </w:r>
      <w:r>
        <w:t>esolution better than ± 3</w:t>
      </w:r>
      <w:r w:rsidRPr="00625CD9">
        <w:t xml:space="preserve"> mm. Floods cause surges and standing waves which can introduce a bias.</w:t>
      </w:r>
    </w:p>
    <w:p w:rsidR="002F4869" w:rsidRDefault="002F4869" w:rsidP="002F4869">
      <w:pPr>
        <w:pStyle w:val="Heading3"/>
        <w:numPr>
          <w:ilvl w:val="0"/>
          <w:numId w:val="0"/>
        </w:numPr>
        <w:ind w:left="-578"/>
      </w:pPr>
      <w:r>
        <w:t>Vertical Staff</w:t>
      </w:r>
      <w:bookmarkEnd w:id="18"/>
      <w:bookmarkEnd w:id="19"/>
      <w:bookmarkEnd w:id="20"/>
      <w:bookmarkEnd w:id="21"/>
    </w:p>
    <w:p w:rsidR="002F4869" w:rsidRPr="00625CD9" w:rsidRDefault="002F4869" w:rsidP="002F4869">
      <w:pPr>
        <w:pStyle w:val="Body"/>
      </w:pPr>
      <w:r w:rsidRPr="00625CD9">
        <w:t xml:space="preserve">The most common form </w:t>
      </w:r>
      <w:r>
        <w:t xml:space="preserve">of gauge is the vertical staff. It </w:t>
      </w:r>
      <w:r w:rsidRPr="00625CD9">
        <w:t>normally consists o</w:t>
      </w:r>
      <w:r>
        <w:t xml:space="preserve">f a series of </w:t>
      </w:r>
      <w:r>
        <w:br/>
        <w:t>1-metre long</w:t>
      </w:r>
      <w:r w:rsidRPr="00625CD9">
        <w:t xml:space="preserve"> plastic plates </w:t>
      </w:r>
      <w:r>
        <w:t>that</w:t>
      </w:r>
      <w:r w:rsidRPr="00625CD9">
        <w:t xml:space="preserve"> are graduated at </w:t>
      </w:r>
      <w:r>
        <w:t xml:space="preserve">ten-millimetre </w:t>
      </w:r>
      <w:r w:rsidRPr="00625CD9">
        <w:t>an</w:t>
      </w:r>
      <w:r>
        <w:t>d 1-decimetre (100 mm) intervals fixed to a secure mount, e.g., treated timber board or concrete wall.</w:t>
      </w:r>
    </w:p>
    <w:p w:rsidR="002F4869" w:rsidRDefault="002F4869" w:rsidP="002F4869">
      <w:pPr>
        <w:pStyle w:val="Body"/>
        <w:jc w:val="center"/>
      </w:pPr>
      <w:r>
        <w:rPr>
          <w:noProof/>
          <w:lang w:val="en-NZ" w:eastAsia="en-NZ"/>
        </w:rPr>
        <w:drawing>
          <wp:inline distT="0" distB="0" distL="0" distR="0" wp14:anchorId="0D062F36" wp14:editId="414DD241">
            <wp:extent cx="2277374" cy="1964237"/>
            <wp:effectExtent l="19050" t="0" r="8626"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 staff guage plat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1024" cy="1967385"/>
                    </a:xfrm>
                    <a:prstGeom prst="rect">
                      <a:avLst/>
                    </a:prstGeom>
                  </pic:spPr>
                </pic:pic>
              </a:graphicData>
            </a:graphic>
          </wp:inline>
        </w:drawing>
      </w:r>
    </w:p>
    <w:p w:rsidR="002F4869" w:rsidRPr="005A643D" w:rsidRDefault="002F4869" w:rsidP="002F4869">
      <w:pPr>
        <w:pStyle w:val="Caption"/>
        <w:rPr>
          <w:b w:val="0"/>
        </w:r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5A643D">
        <w:t xml:space="preserve"> </w:t>
      </w:r>
      <w:r>
        <w:t>Staff Gauge P</w:t>
      </w:r>
      <w:r w:rsidRPr="005A643D">
        <w:t>lates</w:t>
      </w:r>
    </w:p>
    <w:p w:rsidR="002F4869" w:rsidRDefault="002F4869" w:rsidP="002F4869">
      <w:pPr>
        <w:pStyle w:val="CaptionAcknowledgement"/>
      </w:pPr>
      <w:r>
        <w:t>Illustration: Chris Heath</w:t>
      </w:r>
    </w:p>
    <w:p w:rsidR="002F4869" w:rsidRDefault="002F4869" w:rsidP="002F4869">
      <w:pPr>
        <w:pStyle w:val="Heading3"/>
        <w:numPr>
          <w:ilvl w:val="0"/>
          <w:numId w:val="0"/>
        </w:numPr>
        <w:ind w:left="-578"/>
      </w:pPr>
      <w:bookmarkStart w:id="22" w:name="_Toc119936480"/>
      <w:bookmarkStart w:id="23" w:name="_Toc180236846"/>
      <w:bookmarkStart w:id="24" w:name="_Toc180286034"/>
      <w:bookmarkStart w:id="25" w:name="_Toc180286651"/>
      <w:r>
        <w:t>Sloping Staff</w:t>
      </w:r>
      <w:bookmarkEnd w:id="22"/>
      <w:bookmarkEnd w:id="23"/>
      <w:bookmarkEnd w:id="24"/>
      <w:bookmarkEnd w:id="25"/>
    </w:p>
    <w:p w:rsidR="002F4869" w:rsidRDefault="002F4869" w:rsidP="002F4869">
      <w:pPr>
        <w:pStyle w:val="Body"/>
      </w:pPr>
      <w:r w:rsidRPr="00625CD9">
        <w:t xml:space="preserve">Sloping staff gauges </w:t>
      </w:r>
      <w:r>
        <w:t xml:space="preserve">can be </w:t>
      </w:r>
      <w:r w:rsidRPr="00625CD9">
        <w:t>used where</w:t>
      </w:r>
      <w:r>
        <w:t>:</w:t>
      </w:r>
    </w:p>
    <w:p w:rsidR="002F4869" w:rsidRDefault="002F4869" w:rsidP="002F4869">
      <w:pPr>
        <w:pStyle w:val="BulletIndent1"/>
      </w:pPr>
      <w:r w:rsidRPr="00625CD9">
        <w:t xml:space="preserve">there are no suitable anchorages for vertical </w:t>
      </w:r>
      <w:r>
        <w:t>staff gauges</w:t>
      </w:r>
    </w:p>
    <w:p w:rsidR="002F4869" w:rsidRDefault="002F4869" w:rsidP="002F4869">
      <w:pPr>
        <w:pStyle w:val="BulletIndent1"/>
      </w:pPr>
      <w:r>
        <w:t>vertical staff gauges</w:t>
      </w:r>
      <w:r w:rsidRPr="00625CD9">
        <w:t xml:space="preserve"> are too prone to be damaged by high velocities and debris</w:t>
      </w:r>
      <w:r>
        <w:t>, or</w:t>
      </w:r>
    </w:p>
    <w:p w:rsidR="002F4869" w:rsidRPr="00625CD9" w:rsidRDefault="002F4869" w:rsidP="002F4869">
      <w:pPr>
        <w:pStyle w:val="BulletIndent1"/>
      </w:pPr>
      <w:r>
        <w:lastRenderedPageBreak/>
        <w:t>a better resolution is required</w:t>
      </w:r>
      <w:r w:rsidRPr="00625CD9">
        <w:t xml:space="preserve">. </w:t>
      </w:r>
    </w:p>
    <w:p w:rsidR="002F4869" w:rsidRDefault="002F4869" w:rsidP="002F4869">
      <w:pPr>
        <w:pStyle w:val="Note"/>
      </w:pPr>
      <w:r>
        <w:t>Note:</w:t>
      </w:r>
      <w:r>
        <w:tab/>
        <w:t xml:space="preserve">A sloping </w:t>
      </w:r>
      <w:r w:rsidRPr="00625CD9">
        <w:t xml:space="preserve">gauge </w:t>
      </w:r>
      <w:r>
        <w:t>will</w:t>
      </w:r>
      <w:r w:rsidRPr="00625CD9">
        <w:t xml:space="preserve"> achieve a </w:t>
      </w:r>
      <w:r>
        <w:t>better</w:t>
      </w:r>
      <w:r w:rsidRPr="00625CD9">
        <w:t xml:space="preserve"> resolution</w:t>
      </w:r>
      <w:r>
        <w:t xml:space="preserve"> than a vertical staff gauge because distance up the slope is greater than corresponding vertical height</w:t>
      </w:r>
      <w:r w:rsidRPr="00625CD9">
        <w:t xml:space="preserve">. </w:t>
      </w:r>
    </w:p>
    <w:p w:rsidR="002F4869" w:rsidRDefault="002F4869" w:rsidP="002F4869">
      <w:pPr>
        <w:pStyle w:val="Body"/>
      </w:pPr>
      <w:r>
        <w:t xml:space="preserve">Gauges, e.g., </w:t>
      </w:r>
      <w:r w:rsidRPr="006507D9">
        <w:t>a plank or co</w:t>
      </w:r>
      <w:r>
        <w:t xml:space="preserve">ncrete pad (Figure 4) shall be set at a known angle. </w:t>
      </w:r>
      <w:r>
        <w:br/>
        <w:t>30˚ is recommended, as staff plates exist for this angle</w:t>
      </w:r>
      <w:r w:rsidRPr="008C7768">
        <w:rPr>
          <w:i/>
        </w:rPr>
        <w:t>.</w:t>
      </w:r>
    </w:p>
    <w:p w:rsidR="002F4869" w:rsidRPr="00B96156" w:rsidRDefault="002F4869" w:rsidP="002F4869">
      <w:pPr>
        <w:pStyle w:val="Body"/>
        <w:jc w:val="center"/>
        <w:rPr>
          <w:color w:val="FF0000"/>
        </w:rPr>
      </w:pPr>
      <w:r>
        <w:rPr>
          <w:noProof/>
          <w:color w:val="FF0000"/>
          <w:lang w:val="en-NZ" w:eastAsia="en-NZ"/>
        </w:rPr>
        <w:drawing>
          <wp:inline distT="0" distB="0" distL="0" distR="0" wp14:anchorId="6187E4D3" wp14:editId="35624AFE">
            <wp:extent cx="1663700" cy="22161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3700" cy="2216150"/>
                    </a:xfrm>
                    <a:prstGeom prst="rect">
                      <a:avLst/>
                    </a:prstGeom>
                    <a:noFill/>
                    <a:ln>
                      <a:noFill/>
                    </a:ln>
                  </pic:spPr>
                </pic:pic>
              </a:graphicData>
            </a:graphic>
          </wp:inline>
        </w:drawing>
      </w:r>
      <w:r>
        <w:rPr>
          <w:color w:val="FF0000"/>
        </w:rPr>
        <w:t xml:space="preserve">  </w:t>
      </w:r>
      <w:r>
        <w:rPr>
          <w:noProof/>
          <w:color w:val="FF0000"/>
          <w:lang w:val="en-NZ" w:eastAsia="en-NZ"/>
        </w:rPr>
        <w:drawing>
          <wp:inline distT="0" distB="0" distL="0" distR="0" wp14:anchorId="16E3D209" wp14:editId="3CFD5BFE">
            <wp:extent cx="1663700" cy="22161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00" cy="2216150"/>
                    </a:xfrm>
                    <a:prstGeom prst="rect">
                      <a:avLst/>
                    </a:prstGeom>
                    <a:noFill/>
                    <a:ln>
                      <a:noFill/>
                    </a:ln>
                  </pic:spPr>
                </pic:pic>
              </a:graphicData>
            </a:graphic>
          </wp:inline>
        </w:drawing>
      </w:r>
    </w:p>
    <w:p w:rsidR="002F4869" w:rsidRDefault="002F4869" w:rsidP="002F4869">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 30</w:t>
      </w:r>
      <w:r>
        <w:rPr>
          <w:rFonts w:cs="Calibri"/>
        </w:rPr>
        <w:t>°</w:t>
      </w:r>
      <w:r>
        <w:t xml:space="preserve"> Sloping Staff Gauge</w:t>
      </w:r>
    </w:p>
    <w:p w:rsidR="002F4869" w:rsidRPr="004106C3" w:rsidRDefault="002F4869" w:rsidP="002F4869">
      <w:pPr>
        <w:pStyle w:val="CaptionAcknowledgement"/>
      </w:pPr>
      <w:r>
        <w:t>Photographer: Evan Baddock</w:t>
      </w:r>
    </w:p>
    <w:p w:rsidR="002F4869" w:rsidRDefault="002F4869" w:rsidP="002F4869">
      <w:pPr>
        <w:pStyle w:val="Body"/>
      </w:pPr>
      <w:r>
        <w:t xml:space="preserve">If standard vertical plates are used at 30˚, </w:t>
      </w:r>
      <w:r w:rsidRPr="006507D9">
        <w:t xml:space="preserve">the values </w:t>
      </w:r>
      <w:r>
        <w:t>read off the sloping staff gauge can be halved to obtain the actual water level.</w:t>
      </w:r>
    </w:p>
    <w:p w:rsidR="002F4869" w:rsidRDefault="002F4869" w:rsidP="002F4869">
      <w:pPr>
        <w:pStyle w:val="Note"/>
      </w:pPr>
      <w:r>
        <w:t>Note:</w:t>
      </w:r>
      <w:r>
        <w:tab/>
        <w:t>At 30˚, t</w:t>
      </w:r>
      <w:r w:rsidRPr="006507D9">
        <w:t>he slope distance is twice the vertical height</w:t>
      </w:r>
      <w:r>
        <w:t>.</w:t>
      </w:r>
      <w:r w:rsidRPr="006507D9">
        <w:t xml:space="preserve"> </w:t>
      </w:r>
    </w:p>
    <w:p w:rsidR="002F4869" w:rsidRDefault="002F4869" w:rsidP="002F4869">
      <w:pPr>
        <w:pStyle w:val="Heading3"/>
        <w:numPr>
          <w:ilvl w:val="0"/>
          <w:numId w:val="0"/>
        </w:numPr>
        <w:ind w:left="-578"/>
      </w:pPr>
      <w:bookmarkStart w:id="26" w:name="_Toc119936481"/>
      <w:bookmarkStart w:id="27" w:name="_Toc180236847"/>
      <w:bookmarkStart w:id="28" w:name="_Toc180286035"/>
      <w:bookmarkStart w:id="29" w:name="_Toc180286652"/>
      <w:r>
        <w:t>Installation</w:t>
      </w:r>
      <w:bookmarkEnd w:id="26"/>
      <w:bookmarkEnd w:id="27"/>
      <w:bookmarkEnd w:id="28"/>
      <w:bookmarkEnd w:id="29"/>
    </w:p>
    <w:p w:rsidR="002F4869" w:rsidRPr="00625CD9" w:rsidRDefault="002F4869" w:rsidP="002F4869">
      <w:pPr>
        <w:pStyle w:val="Body"/>
      </w:pPr>
      <w:r w:rsidRPr="00625CD9">
        <w:t xml:space="preserve">Staff gauges </w:t>
      </w:r>
      <w:r>
        <w:t>shall</w:t>
      </w:r>
      <w:r w:rsidRPr="00625CD9">
        <w:t xml:space="preserve"> be installed so that:</w:t>
      </w:r>
      <w:r>
        <w:t xml:space="preserve"> </w:t>
      </w:r>
    </w:p>
    <w:p w:rsidR="002F4869" w:rsidRDefault="002F4869" w:rsidP="002F4869">
      <w:pPr>
        <w:pStyle w:val="BulletIndent1"/>
      </w:pPr>
      <w:r>
        <w:t>the z</w:t>
      </w:r>
      <w:r w:rsidRPr="00B96156">
        <w:t xml:space="preserve">ero </w:t>
      </w:r>
      <w:r>
        <w:t>of each gauge is at the recording zero.</w:t>
      </w:r>
    </w:p>
    <w:p w:rsidR="002F4869" w:rsidRPr="00625CD9" w:rsidRDefault="002F4869" w:rsidP="002F4869">
      <w:pPr>
        <w:pStyle w:val="BulletIndent1Note"/>
      </w:pPr>
      <w:r w:rsidRPr="005F3C3E">
        <w:t>The R.L. level should be below the lowest possible water-level, given that the bed may degrade significantly over the life of the station.</w:t>
      </w:r>
    </w:p>
    <w:p w:rsidR="002F4869" w:rsidRPr="00AF30C0" w:rsidRDefault="002F4869" w:rsidP="002F4869">
      <w:pPr>
        <w:pStyle w:val="BulletIndent1"/>
      </w:pPr>
      <w:r w:rsidRPr="00AF30C0">
        <w:t>there is overlap between the top of the one gauge and the bottom of the next</w:t>
      </w:r>
    </w:p>
    <w:p w:rsidR="002F4869" w:rsidRPr="00625CD9" w:rsidRDefault="002F4869" w:rsidP="002F4869">
      <w:pPr>
        <w:pStyle w:val="BulletIndent1"/>
      </w:pPr>
      <w:r w:rsidRPr="00625CD9">
        <w:t>the staff gauge mounts are immo</w:t>
      </w:r>
      <w:r>
        <w:t>vable and not prone to settling</w:t>
      </w:r>
    </w:p>
    <w:p w:rsidR="002F4869" w:rsidRPr="00625CD9" w:rsidRDefault="002F4869" w:rsidP="002F4869">
      <w:pPr>
        <w:pStyle w:val="BulletIndent1"/>
      </w:pPr>
      <w:r>
        <w:t>t</w:t>
      </w:r>
      <w:r w:rsidRPr="00625CD9">
        <w:t>he method of fastening the timber to the mount is posit</w:t>
      </w:r>
      <w:r>
        <w:t xml:space="preserve">ive </w:t>
      </w:r>
      <w:r>
        <w:br/>
      </w:r>
      <w:r w:rsidRPr="008D7731">
        <w:rPr>
          <w:i/>
          <w:color w:val="404040"/>
        </w:rPr>
        <w:t>Friction should not be relied on to prevent slippage.</w:t>
      </w:r>
    </w:p>
    <w:p w:rsidR="002F4869" w:rsidRPr="00625CD9" w:rsidRDefault="002F4869" w:rsidP="002F4869">
      <w:pPr>
        <w:pStyle w:val="BulletIndent1"/>
      </w:pPr>
      <w:r>
        <w:t>t</w:t>
      </w:r>
      <w:r w:rsidRPr="00625CD9">
        <w:t xml:space="preserve">he water-level </w:t>
      </w:r>
      <w:r>
        <w:t>is</w:t>
      </w:r>
      <w:r w:rsidRPr="00625CD9">
        <w:t xml:space="preserve"> easily </w:t>
      </w:r>
      <w:r>
        <w:t>and accurately read at any time</w:t>
      </w:r>
    </w:p>
    <w:p w:rsidR="002F4869" w:rsidRPr="00625CD9" w:rsidRDefault="002F4869" w:rsidP="002F4869">
      <w:pPr>
        <w:pStyle w:val="BulletIndent1"/>
      </w:pPr>
      <w:r>
        <w:t>the g</w:t>
      </w:r>
      <w:r w:rsidRPr="00625CD9">
        <w:t xml:space="preserve">auges </w:t>
      </w:r>
      <w:r>
        <w:t>are protected from high velocities, and</w:t>
      </w:r>
      <w:r w:rsidRPr="00625CD9">
        <w:t xml:space="preserve"> </w:t>
      </w:r>
      <w:r>
        <w:br/>
      </w:r>
      <w:r w:rsidRPr="008D7731">
        <w:rPr>
          <w:i/>
          <w:color w:val="404040"/>
        </w:rPr>
        <w:t>If high velocities are unavoidable, keep the gauges short and have more of them, or glue plates to a concrete face.</w:t>
      </w:r>
    </w:p>
    <w:p w:rsidR="002F4869" w:rsidRDefault="002F4869" w:rsidP="002F4869">
      <w:pPr>
        <w:pStyle w:val="BulletIndent1"/>
      </w:pPr>
      <w:r>
        <w:t>t</w:t>
      </w:r>
      <w:r w:rsidRPr="00625CD9">
        <w:t xml:space="preserve">he gauges are on the same </w:t>
      </w:r>
      <w:r>
        <w:t xml:space="preserve">river cross </w:t>
      </w:r>
      <w:r w:rsidRPr="00625CD9">
        <w:t>section as the intake pipe</w:t>
      </w:r>
      <w:r>
        <w:t>s or sensor orifice.</w:t>
      </w:r>
      <w:r>
        <w:br/>
      </w:r>
      <w:r w:rsidRPr="008D7731">
        <w:rPr>
          <w:i/>
          <w:color w:val="404040"/>
        </w:rPr>
        <w:t>Especially with low flow gauges, staff gauges shall be as close to the intake pipe or orifice as possible.</w:t>
      </w:r>
    </w:p>
    <w:p w:rsidR="002F4869" w:rsidRDefault="002F4869" w:rsidP="002F4869">
      <w:pPr>
        <w:pStyle w:val="Heading2"/>
        <w:numPr>
          <w:ilvl w:val="0"/>
          <w:numId w:val="0"/>
        </w:numPr>
        <w:ind w:left="-709"/>
      </w:pPr>
      <w:bookmarkStart w:id="30" w:name="_Toc212177814"/>
      <w:bookmarkStart w:id="31" w:name="_Toc215287022"/>
      <w:bookmarkStart w:id="32" w:name="_Toc396395243"/>
      <w:r>
        <w:lastRenderedPageBreak/>
        <w:t>Electric Plumb Bob</w:t>
      </w:r>
      <w:bookmarkEnd w:id="30"/>
      <w:bookmarkEnd w:id="31"/>
      <w:bookmarkEnd w:id="32"/>
    </w:p>
    <w:p w:rsidR="002F4869" w:rsidRPr="000108F3" w:rsidRDefault="002F4869" w:rsidP="002F4869">
      <w:pPr>
        <w:pStyle w:val="Heading3"/>
        <w:numPr>
          <w:ilvl w:val="0"/>
          <w:numId w:val="0"/>
        </w:numPr>
        <w:ind w:left="-578"/>
      </w:pPr>
      <w:r>
        <w:t>Introduction</w:t>
      </w:r>
    </w:p>
    <w:p w:rsidR="002F4869" w:rsidRDefault="002F4869" w:rsidP="002F4869">
      <w:pPr>
        <w:pStyle w:val="Body"/>
      </w:pPr>
      <w:r w:rsidRPr="00A24389">
        <w:t>The electric plumb bob (EPB) is a non-recording gauge that is nor</w:t>
      </w:r>
      <w:r>
        <w:t xml:space="preserve">mally used to measure the water </w:t>
      </w:r>
      <w:r w:rsidRPr="00A24389">
        <w:t>level in a stilling well</w:t>
      </w:r>
      <w:r>
        <w:t>.</w:t>
      </w:r>
    </w:p>
    <w:p w:rsidR="002F4869" w:rsidRDefault="002F4869" w:rsidP="002F4869">
      <w:pPr>
        <w:pStyle w:val="Body"/>
        <w:rPr>
          <w:i/>
        </w:rPr>
      </w:pPr>
      <w:r>
        <w:rPr>
          <w:i/>
        </w:rPr>
        <w:t xml:space="preserve">Note:  </w:t>
      </w:r>
      <w:r w:rsidRPr="006507D9">
        <w:rPr>
          <w:i/>
        </w:rPr>
        <w:t>It gives an independ</w:t>
      </w:r>
      <w:r>
        <w:rPr>
          <w:i/>
        </w:rPr>
        <w:t xml:space="preserve">ent check on the internal water </w:t>
      </w:r>
      <w:r w:rsidRPr="006507D9">
        <w:rPr>
          <w:i/>
        </w:rPr>
        <w:t xml:space="preserve">level and therefore provides a check on the recorder. </w:t>
      </w:r>
    </w:p>
    <w:p w:rsidR="002F4869" w:rsidRDefault="002F4869" w:rsidP="002F4869">
      <w:pPr>
        <w:pStyle w:val="Body"/>
      </w:pPr>
      <w:r w:rsidRPr="00A24389">
        <w:t>It consists of a plumb bob connected to a graduated steel tape, wound on a brass reel (</w:t>
      </w:r>
      <w:r>
        <w:fldChar w:fldCharType="begin"/>
      </w:r>
      <w:r>
        <w:instrText xml:space="preserve"> REF _Ref215287795 \h </w:instrText>
      </w:r>
      <w:r>
        <w:fldChar w:fldCharType="separate"/>
      </w:r>
      <w:r>
        <w:t xml:space="preserve">Figure </w:t>
      </w:r>
      <w:r>
        <w:rPr>
          <w:noProof/>
        </w:rPr>
        <w:t>5</w:t>
      </w:r>
      <w:r>
        <w:fldChar w:fldCharType="end"/>
      </w:r>
      <w:r w:rsidRPr="00A24389">
        <w:t xml:space="preserve">). This forms part of a low voltage electrical circuit </w:t>
      </w:r>
      <w:r>
        <w:t>that</w:t>
      </w:r>
      <w:r w:rsidRPr="00A24389">
        <w:t xml:space="preserve"> is completed when the plumb bob is wound down to, and touches, the water surface. The c</w:t>
      </w:r>
      <w:r>
        <w:t>ontact is registered on a milli</w:t>
      </w:r>
      <w:r w:rsidRPr="00A24389">
        <w:t xml:space="preserve">ammeter, or buzzer/light, and thus the plumb bob can be </w:t>
      </w:r>
      <w:r>
        <w:t>raised or lowered</w:t>
      </w:r>
      <w:r w:rsidRPr="00A24389">
        <w:t xml:space="preserve"> so that it is only just touching the water surface, and a reading taken from the tape graduations.</w:t>
      </w:r>
      <w:r w:rsidRPr="000108F3">
        <w:t xml:space="preserve"> </w:t>
      </w:r>
    </w:p>
    <w:bookmarkStart w:id="33" w:name="_MON_1190057290"/>
    <w:bookmarkEnd w:id="33"/>
    <w:p w:rsidR="002F4869" w:rsidRDefault="002F4869" w:rsidP="002F4869">
      <w:pPr>
        <w:pStyle w:val="Normalbodytext"/>
        <w:jc w:val="center"/>
      </w:pPr>
      <w:r>
        <w:object w:dxaOrig="3002" w:dyaOrig="5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284.5pt" o:ole="">
            <v:imagedata r:id="rId8" o:title=""/>
          </v:shape>
          <o:OLEObject Type="Embed" ProgID="Word.Picture.8" ShapeID="_x0000_i1025" DrawAspect="Content" ObjectID="_1548071265" r:id="rId9"/>
        </w:object>
      </w:r>
    </w:p>
    <w:p w:rsidR="002F4869" w:rsidRDefault="002F4869" w:rsidP="002F4869">
      <w:pPr>
        <w:pStyle w:val="Caption"/>
      </w:pPr>
      <w:bookmarkStart w:id="34" w:name="_Ref215287795"/>
      <w:r>
        <w:t xml:space="preserve">Figure </w:t>
      </w:r>
      <w:r>
        <w:fldChar w:fldCharType="begin"/>
      </w:r>
      <w:r>
        <w:instrText xml:space="preserve"> SEQ Figure \* ARABIC </w:instrText>
      </w:r>
      <w:r>
        <w:fldChar w:fldCharType="separate"/>
      </w:r>
      <w:r>
        <w:rPr>
          <w:noProof/>
        </w:rPr>
        <w:t>5</w:t>
      </w:r>
      <w:r>
        <w:fldChar w:fldCharType="end"/>
      </w:r>
      <w:bookmarkEnd w:id="34"/>
      <w:r>
        <w:t xml:space="preserve"> –</w:t>
      </w:r>
      <w:r>
        <w:rPr>
          <w:caps/>
        </w:rPr>
        <w:t xml:space="preserve"> </w:t>
      </w:r>
      <w:r>
        <w:t>Electric Plumb Bob Schematic D</w:t>
      </w:r>
      <w:r w:rsidRPr="006507D9">
        <w:t>iagram</w:t>
      </w:r>
    </w:p>
    <w:p w:rsidR="002F4869" w:rsidRPr="00B04A7D" w:rsidRDefault="002F4869" w:rsidP="002F4869">
      <w:pPr>
        <w:pStyle w:val="CaptionAcknowledgement"/>
      </w:pPr>
      <w:r>
        <w:t>Source: ISO 4375 (2008) Hydrometry – Water Level Measuring Devices</w:t>
      </w:r>
    </w:p>
    <w:p w:rsidR="002F4869" w:rsidRPr="000F0222" w:rsidRDefault="002F4869" w:rsidP="002F4869">
      <w:pPr>
        <w:pStyle w:val="CaptionAcknowledgement"/>
      </w:pPr>
    </w:p>
    <w:p w:rsidR="002F4869" w:rsidRPr="00C8326A" w:rsidRDefault="002F4869" w:rsidP="002F4869">
      <w:pPr>
        <w:pStyle w:val="Body"/>
      </w:pPr>
      <w:r>
        <w:t>In Groundwater applications, electronic water level indicators are used. These consist of a spool of dual conductor wire with a probe attached to the end as an indicator. When the probe comes in contact with the water, the circuit is closed and the meter light and/or buzzer will signal contact. Measurements should be made and recorded to the nearest 10mm.</w:t>
      </w:r>
    </w:p>
    <w:p w:rsidR="002F4869" w:rsidRDefault="002F4869" w:rsidP="002F4869">
      <w:pPr>
        <w:pStyle w:val="Body"/>
        <w:rPr>
          <w:i/>
        </w:rPr>
      </w:pPr>
      <w:r w:rsidRPr="00AE0192">
        <w:rPr>
          <w:i/>
        </w:rPr>
        <w:t xml:space="preserve">For details on the installation and set-up of an electric plumb bob, </w:t>
      </w:r>
      <w:r>
        <w:rPr>
          <w:i/>
        </w:rPr>
        <w:t>see ‘</w:t>
      </w:r>
      <w:r>
        <w:rPr>
          <w:i/>
        </w:rPr>
        <w:fldChar w:fldCharType="begin"/>
      </w:r>
      <w:r>
        <w:rPr>
          <w:i/>
        </w:rPr>
        <w:instrText xml:space="preserve"> REF Annex_B \h </w:instrText>
      </w:r>
      <w:r>
        <w:rPr>
          <w:i/>
        </w:rPr>
      </w:r>
      <w:r>
        <w:rPr>
          <w:i/>
        </w:rPr>
        <w:fldChar w:fldCharType="separate"/>
      </w:r>
      <w:r>
        <w:t>Annex B – Procedures</w:t>
      </w:r>
      <w:r>
        <w:rPr>
          <w:i/>
        </w:rPr>
        <w:fldChar w:fldCharType="end"/>
      </w:r>
      <w:r>
        <w:rPr>
          <w:i/>
        </w:rPr>
        <w:t>’.</w:t>
      </w:r>
    </w:p>
    <w:p w:rsidR="002F4869" w:rsidRDefault="002F4869" w:rsidP="002F4869">
      <w:pPr>
        <w:pStyle w:val="Heading3"/>
        <w:numPr>
          <w:ilvl w:val="0"/>
          <w:numId w:val="0"/>
        </w:numPr>
        <w:ind w:left="-578"/>
      </w:pPr>
      <w:r>
        <w:t>Usage</w:t>
      </w:r>
    </w:p>
    <w:p w:rsidR="002F4869" w:rsidRDefault="002F4869" w:rsidP="002F4869">
      <w:pPr>
        <w:pStyle w:val="Body"/>
      </w:pPr>
      <w:r w:rsidRPr="0080151D">
        <w:t xml:space="preserve">An </w:t>
      </w:r>
      <w:r w:rsidRPr="00A24389">
        <w:t>electric plumb bob</w:t>
      </w:r>
      <w:r>
        <w:t xml:space="preserve"> (EPB) shall be used to </w:t>
      </w:r>
      <w:r w:rsidRPr="0080151D">
        <w:t>provide an accurate indication of water level in situations where access and visibility are impaired, i.e.</w:t>
      </w:r>
      <w:r>
        <w:t>,</w:t>
      </w:r>
      <w:r w:rsidRPr="0080151D">
        <w:t xml:space="preserve"> within </w:t>
      </w:r>
      <w:r>
        <w:t>a stilling well or a borehole.</w:t>
      </w:r>
    </w:p>
    <w:p w:rsidR="002F4869" w:rsidRDefault="002F4869" w:rsidP="002F4869">
      <w:pPr>
        <w:pStyle w:val="Body"/>
      </w:pPr>
      <w:r>
        <w:lastRenderedPageBreak/>
        <w:t xml:space="preserve">An electric plumb bob </w:t>
      </w:r>
      <w:r w:rsidRPr="0080151D">
        <w:t>can provide acceptable accuracy w</w:t>
      </w:r>
      <w:r>
        <w:t>hen the distance to the water s</w:t>
      </w:r>
      <w:r w:rsidRPr="0080151D">
        <w:t>u</w:t>
      </w:r>
      <w:r>
        <w:t>r</w:t>
      </w:r>
      <w:r w:rsidRPr="0080151D">
        <w:t>face is of the order of tens of metres.</w:t>
      </w:r>
    </w:p>
    <w:p w:rsidR="002F4869" w:rsidRDefault="002F4869" w:rsidP="002F4869">
      <w:pPr>
        <w:pStyle w:val="Note"/>
      </w:pPr>
      <w:r>
        <w:t>Note: E</w:t>
      </w:r>
      <w:r w:rsidRPr="00A24389">
        <w:t>lectric plumb bob</w:t>
      </w:r>
      <w:r>
        <w:t>s may not work</w:t>
      </w:r>
      <w:r w:rsidRPr="0080151D">
        <w:t xml:space="preserve"> in waters of very low conductivity</w:t>
      </w:r>
      <w:r>
        <w:t>.</w:t>
      </w:r>
      <w:r w:rsidRPr="0080151D">
        <w:t xml:space="preserve"> </w:t>
      </w:r>
    </w:p>
    <w:p w:rsidR="002F4869" w:rsidRPr="00AE0192" w:rsidRDefault="002F4869" w:rsidP="002F4869">
      <w:pPr>
        <w:pStyle w:val="Body"/>
      </w:pPr>
      <w:r>
        <w:t xml:space="preserve">Due to their accuracy, electric plumb bobs are generally used as the primary reference check at stations where they are installed. Although they are the best check of the instruments in a stilling well, they are prone to the same intake silting. Each electric plumb bob reading should be paired with an external staff gauge reading to identify possible silting. </w:t>
      </w:r>
    </w:p>
    <w:p w:rsidR="002F4869" w:rsidRDefault="002F4869" w:rsidP="002F4869">
      <w:pPr>
        <w:pStyle w:val="Heading3"/>
        <w:numPr>
          <w:ilvl w:val="0"/>
          <w:numId w:val="0"/>
        </w:numPr>
        <w:ind w:left="-578"/>
      </w:pPr>
      <w:r>
        <w:t>Mounting</w:t>
      </w:r>
    </w:p>
    <w:p w:rsidR="002F4869" w:rsidRDefault="002F4869" w:rsidP="002F4869">
      <w:pPr>
        <w:pStyle w:val="Body"/>
      </w:pPr>
      <w:r>
        <w:t>E</w:t>
      </w:r>
      <w:r w:rsidRPr="00A24389">
        <w:t>lectric plumb bob</w:t>
      </w:r>
      <w:r w:rsidRPr="006507D9">
        <w:t xml:space="preserve">s shall be mounted </w:t>
      </w:r>
      <w:r>
        <w:t>in a manner that prevents vertical movement.  Any vertical movement will shift the gauge zero with respect to the recording zero.</w:t>
      </w:r>
    </w:p>
    <w:p w:rsidR="002F4869" w:rsidRDefault="002F4869" w:rsidP="002F4869">
      <w:pPr>
        <w:pStyle w:val="Heading3"/>
        <w:numPr>
          <w:ilvl w:val="0"/>
          <w:numId w:val="0"/>
        </w:numPr>
        <w:ind w:left="-578"/>
      </w:pPr>
      <w:r>
        <w:t>Precision</w:t>
      </w:r>
    </w:p>
    <w:p w:rsidR="002F4869" w:rsidRPr="006507D9" w:rsidRDefault="002F4869" w:rsidP="002F4869">
      <w:pPr>
        <w:pStyle w:val="Body"/>
      </w:pPr>
      <w:r>
        <w:t>Fixed</w:t>
      </w:r>
      <w:r w:rsidRPr="006507D9">
        <w:t xml:space="preserve"> point</w:t>
      </w:r>
      <w:r>
        <w:t xml:space="preserve">ers </w:t>
      </w:r>
      <w:r w:rsidRPr="006507D9">
        <w:t>shall be installed to ensure that readings can be taken to 1 mm precision.</w:t>
      </w:r>
    </w:p>
    <w:p w:rsidR="002F4869" w:rsidRDefault="002F4869" w:rsidP="002F4869">
      <w:pPr>
        <w:pStyle w:val="Heading3"/>
        <w:numPr>
          <w:ilvl w:val="0"/>
          <w:numId w:val="0"/>
        </w:numPr>
        <w:ind w:left="-578"/>
      </w:pPr>
      <w:r>
        <w:t>Deployment</w:t>
      </w:r>
    </w:p>
    <w:p w:rsidR="002F4869" w:rsidRDefault="002F4869" w:rsidP="002F4869">
      <w:pPr>
        <w:pStyle w:val="Body"/>
      </w:pPr>
      <w:r w:rsidRPr="006507D9">
        <w:t xml:space="preserve">An electric plumb bob </w:t>
      </w:r>
      <w:r>
        <w:t>shall be installed</w:t>
      </w:r>
      <w:r w:rsidRPr="006507D9">
        <w:t xml:space="preserve"> at each stilling well site. </w:t>
      </w:r>
    </w:p>
    <w:p w:rsidR="002F4869" w:rsidRPr="006507D9" w:rsidRDefault="002F4869" w:rsidP="002F4869">
      <w:pPr>
        <w:pStyle w:val="Note"/>
      </w:pPr>
      <w:r>
        <w:t>Note:</w:t>
      </w:r>
      <w:r>
        <w:tab/>
      </w:r>
      <w:r w:rsidRPr="006507D9">
        <w:t>Discrepancies between the recorder and the electric plumb bob will sometimes occur</w:t>
      </w:r>
      <w:r>
        <w:t xml:space="preserve">. For more information, </w:t>
      </w:r>
      <w:r>
        <w:rPr>
          <w:i w:val="0"/>
        </w:rPr>
        <w:t>see ‘</w:t>
      </w:r>
      <w:r>
        <w:rPr>
          <w:i w:val="0"/>
        </w:rPr>
        <w:fldChar w:fldCharType="begin"/>
      </w:r>
      <w:r>
        <w:rPr>
          <w:i w:val="0"/>
        </w:rPr>
        <w:instrText xml:space="preserve"> REF Annex_B \h </w:instrText>
      </w:r>
      <w:r>
        <w:rPr>
          <w:i w:val="0"/>
        </w:rPr>
      </w:r>
      <w:r>
        <w:rPr>
          <w:i w:val="0"/>
        </w:rPr>
        <w:fldChar w:fldCharType="separate"/>
      </w:r>
      <w:r>
        <w:t>Annex B – Procedures</w:t>
      </w:r>
      <w:r>
        <w:rPr>
          <w:i w:val="0"/>
        </w:rPr>
        <w:fldChar w:fldCharType="end"/>
      </w:r>
      <w:r>
        <w:rPr>
          <w:i w:val="0"/>
        </w:rPr>
        <w:t>’</w:t>
      </w:r>
      <w:r w:rsidRPr="00B54B8A">
        <w:t>.</w:t>
      </w:r>
    </w:p>
    <w:p w:rsidR="00BE49A8" w:rsidRDefault="001F2780"/>
    <w:sectPr w:rsidR="00BE4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3748F"/>
    <w:multiLevelType w:val="multilevel"/>
    <w:tmpl w:val="564E423E"/>
    <w:lvl w:ilvl="0">
      <w:start w:val="1"/>
      <w:numFmt w:val="decimal"/>
      <w:pStyle w:val="Heading1"/>
      <w:lvlText w:val="%1"/>
      <w:lvlJc w:val="left"/>
      <w:pPr>
        <w:ind w:left="-867" w:firstLine="158"/>
      </w:pPr>
      <w:rPr>
        <w:rFonts w:ascii="Century Gothic" w:hAnsi="Century Gothic" w:hint="default"/>
        <w:b w:val="0"/>
        <w:bCs w:val="0"/>
        <w:i w:val="0"/>
        <w:iCs w:val="0"/>
        <w:color w:val="595959" w:themeColor="text1" w:themeTint="A6"/>
        <w:sz w:val="18"/>
        <w:szCs w:val="18"/>
      </w:rPr>
    </w:lvl>
    <w:lvl w:ilvl="1">
      <w:start w:val="1"/>
      <w:numFmt w:val="decimal"/>
      <w:pStyle w:val="Heading2"/>
      <w:lvlText w:val="%1.%2"/>
      <w:lvlJc w:val="left"/>
      <w:pPr>
        <w:ind w:left="-720" w:firstLine="11"/>
      </w:pPr>
      <w:rPr>
        <w:rFonts w:ascii="Century Gothic" w:hAnsi="Century Gothic" w:hint="default"/>
        <w:b w:val="0"/>
        <w:bCs w:val="0"/>
        <w:i w:val="0"/>
        <w:iCs w:val="0"/>
        <w:color w:val="595959" w:themeColor="text1" w:themeTint="A6"/>
        <w:sz w:val="18"/>
        <w:szCs w:val="18"/>
      </w:rPr>
    </w:lvl>
    <w:lvl w:ilvl="2">
      <w:start w:val="1"/>
      <w:numFmt w:val="decimal"/>
      <w:pStyle w:val="Heading3"/>
      <w:lvlText w:val="%1.%2.%3"/>
      <w:lvlJc w:val="left"/>
      <w:pPr>
        <w:ind w:left="-578" w:hanging="131"/>
      </w:pPr>
      <w:rPr>
        <w:rFonts w:ascii="Century Gothic" w:hAnsi="Century Gothic" w:hint="default"/>
        <w:b w:val="0"/>
        <w:bCs w:val="0"/>
        <w:i w:val="0"/>
        <w:iCs w:val="0"/>
        <w:color w:val="595959" w:themeColor="text1" w:themeTint="A6"/>
        <w:sz w:val="18"/>
        <w:szCs w:val="18"/>
      </w:rPr>
    </w:lvl>
    <w:lvl w:ilvl="3">
      <w:start w:val="1"/>
      <w:numFmt w:val="decimal"/>
      <w:pStyle w:val="Heading4"/>
      <w:lvlText w:val="%1.%2.%3.%4"/>
      <w:lvlJc w:val="left"/>
      <w:pPr>
        <w:ind w:left="-578" w:hanging="131"/>
      </w:pPr>
      <w:rPr>
        <w:rFonts w:ascii="Century Gothic" w:hAnsi="Century Gothic" w:hint="default"/>
        <w:b w:val="0"/>
        <w:bCs w:val="0"/>
        <w:i w:val="0"/>
        <w:iCs w:val="0"/>
        <w:color w:val="595959" w:themeColor="text1" w:themeTint="A6"/>
        <w:sz w:val="18"/>
        <w:szCs w:val="18"/>
      </w:rPr>
    </w:lvl>
    <w:lvl w:ilvl="4">
      <w:start w:val="1"/>
      <w:numFmt w:val="decimal"/>
      <w:pStyle w:val="Heading5"/>
      <w:lvlText w:val="%1.%2.%3.%4.%5"/>
      <w:lvlJc w:val="left"/>
      <w:pPr>
        <w:ind w:left="719" w:hanging="1008"/>
      </w:pPr>
      <w:rPr>
        <w:rFonts w:hint="default"/>
      </w:rPr>
    </w:lvl>
    <w:lvl w:ilvl="5">
      <w:start w:val="1"/>
      <w:numFmt w:val="decimal"/>
      <w:pStyle w:val="Heading6"/>
      <w:lvlText w:val="%1.%2.%3.%4.%5.%6"/>
      <w:lvlJc w:val="left"/>
      <w:pPr>
        <w:ind w:left="863" w:hanging="1152"/>
      </w:pPr>
      <w:rPr>
        <w:rFonts w:hint="default"/>
      </w:rPr>
    </w:lvl>
    <w:lvl w:ilvl="6">
      <w:start w:val="1"/>
      <w:numFmt w:val="decimal"/>
      <w:pStyle w:val="Heading7"/>
      <w:lvlText w:val="%1.%2.%3.%4.%5.%6.%7"/>
      <w:lvlJc w:val="left"/>
      <w:pPr>
        <w:ind w:left="1007" w:hanging="1296"/>
      </w:pPr>
      <w:rPr>
        <w:rFonts w:hint="default"/>
      </w:rPr>
    </w:lvl>
    <w:lvl w:ilvl="7">
      <w:start w:val="1"/>
      <w:numFmt w:val="decimal"/>
      <w:pStyle w:val="Heading8"/>
      <w:lvlText w:val="%1.%2.%3.%4.%5.%6.%7.%8"/>
      <w:lvlJc w:val="left"/>
      <w:pPr>
        <w:ind w:left="1151" w:hanging="1440"/>
      </w:pPr>
      <w:rPr>
        <w:rFonts w:hint="default"/>
      </w:rPr>
    </w:lvl>
    <w:lvl w:ilvl="8">
      <w:start w:val="1"/>
      <w:numFmt w:val="decimal"/>
      <w:pStyle w:val="Heading9"/>
      <w:lvlText w:val="%1.%2.%3.%4.%5.%6.%7.%8.%9"/>
      <w:lvlJc w:val="left"/>
      <w:pPr>
        <w:ind w:left="1295" w:hanging="1584"/>
      </w:pPr>
      <w:rPr>
        <w:rFonts w:hint="default"/>
      </w:rPr>
    </w:lvl>
  </w:abstractNum>
  <w:abstractNum w:abstractNumId="1" w15:restartNumberingAfterBreak="0">
    <w:nsid w:val="7C2E4FFC"/>
    <w:multiLevelType w:val="singleLevel"/>
    <w:tmpl w:val="BDA29F7A"/>
    <w:lvl w:ilvl="0">
      <w:start w:val="1"/>
      <w:numFmt w:val="bullet"/>
      <w:pStyle w:val="BulletIndent0"/>
      <w:lvlText w:val=""/>
      <w:lvlJc w:val="left"/>
      <w:pPr>
        <w:tabs>
          <w:tab w:val="num" w:pos="360"/>
        </w:tabs>
        <w:ind w:left="187" w:hanging="187"/>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69"/>
    <w:rsid w:val="001F2780"/>
    <w:rsid w:val="002F4869"/>
    <w:rsid w:val="00B816B8"/>
    <w:rsid w:val="00E23F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CEE3B-685A-47B9-A904-B9F4B802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3"/>
    <w:link w:val="Heading1Char"/>
    <w:uiPriority w:val="9"/>
    <w:qFormat/>
    <w:rsid w:val="002F4869"/>
    <w:pPr>
      <w:keepNext/>
      <w:keepLines/>
      <w:pageBreakBefore/>
      <w:numPr>
        <w:numId w:val="2"/>
      </w:numPr>
      <w:tabs>
        <w:tab w:val="left" w:pos="0"/>
      </w:tabs>
      <w:spacing w:after="240" w:line="240" w:lineRule="auto"/>
      <w:outlineLvl w:val="0"/>
    </w:pPr>
    <w:rPr>
      <w:rFonts w:ascii="Century Gothic" w:eastAsiaTheme="majorEastAsia" w:hAnsi="Century Gothic" w:cstheme="majorBidi"/>
      <w:color w:val="1F3864" w:themeColor="accent5" w:themeShade="80"/>
      <w:sz w:val="40"/>
      <w:szCs w:val="40"/>
      <w:lang w:val="en-GB"/>
    </w:rPr>
  </w:style>
  <w:style w:type="paragraph" w:styleId="Heading2">
    <w:name w:val="heading 2"/>
    <w:aliases w:val="SubPara,sub-para"/>
    <w:basedOn w:val="Normal"/>
    <w:next w:val="Heading3"/>
    <w:link w:val="Heading2Char"/>
    <w:uiPriority w:val="9"/>
    <w:unhideWhenUsed/>
    <w:rsid w:val="002F4869"/>
    <w:pPr>
      <w:keepNext/>
      <w:keepLines/>
      <w:pageBreakBefore/>
      <w:numPr>
        <w:ilvl w:val="1"/>
        <w:numId w:val="2"/>
      </w:numPr>
      <w:spacing w:after="240" w:line="240" w:lineRule="auto"/>
      <w:outlineLvl w:val="1"/>
    </w:pPr>
    <w:rPr>
      <w:rFonts w:ascii="Century Gothic" w:eastAsiaTheme="majorEastAsia" w:hAnsi="Century Gothic" w:cstheme="majorBidi"/>
      <w:bCs/>
      <w:color w:val="1F3864" w:themeColor="accent5" w:themeShade="80"/>
      <w:sz w:val="36"/>
      <w:szCs w:val="26"/>
      <w:lang w:val="en-GB"/>
    </w:rPr>
  </w:style>
  <w:style w:type="paragraph" w:styleId="Heading3">
    <w:name w:val="heading 3"/>
    <w:aliases w:val="Sub2Para,h3,sub-sub-para"/>
    <w:basedOn w:val="Normal"/>
    <w:next w:val="Body"/>
    <w:link w:val="Heading3Char"/>
    <w:uiPriority w:val="9"/>
    <w:unhideWhenUsed/>
    <w:qFormat/>
    <w:rsid w:val="002F4869"/>
    <w:pPr>
      <w:keepNext/>
      <w:keepLines/>
      <w:numPr>
        <w:ilvl w:val="2"/>
        <w:numId w:val="2"/>
      </w:numPr>
      <w:tabs>
        <w:tab w:val="left" w:pos="0"/>
      </w:tabs>
      <w:spacing w:before="320" w:after="0" w:line="240" w:lineRule="auto"/>
      <w:outlineLvl w:val="2"/>
    </w:pPr>
    <w:rPr>
      <w:rFonts w:ascii="Century Gothic" w:eastAsiaTheme="majorEastAsia" w:hAnsi="Century Gothic" w:cstheme="majorBidi"/>
      <w:bCs/>
      <w:color w:val="1F3864" w:themeColor="accent5" w:themeShade="80"/>
      <w:sz w:val="28"/>
      <w:szCs w:val="20"/>
      <w:lang w:val="en-GB"/>
    </w:rPr>
  </w:style>
  <w:style w:type="paragraph" w:styleId="Heading4">
    <w:name w:val="heading 4"/>
    <w:basedOn w:val="Normal"/>
    <w:next w:val="Body"/>
    <w:link w:val="Heading4Char"/>
    <w:uiPriority w:val="9"/>
    <w:unhideWhenUsed/>
    <w:qFormat/>
    <w:rsid w:val="002F4869"/>
    <w:pPr>
      <w:keepNext/>
      <w:keepLines/>
      <w:numPr>
        <w:ilvl w:val="3"/>
        <w:numId w:val="2"/>
      </w:numPr>
      <w:tabs>
        <w:tab w:val="left" w:pos="0"/>
      </w:tabs>
      <w:spacing w:before="200" w:after="0" w:line="240" w:lineRule="auto"/>
      <w:outlineLvl w:val="3"/>
    </w:pPr>
    <w:rPr>
      <w:rFonts w:ascii="Century Gothic" w:eastAsiaTheme="majorEastAsia" w:hAnsi="Century Gothic" w:cstheme="majorBidi"/>
      <w:bCs/>
      <w:iCs/>
      <w:color w:val="1F3864" w:themeColor="accent5" w:themeShade="80"/>
      <w:szCs w:val="20"/>
      <w:lang w:val="en-GB"/>
    </w:rPr>
  </w:style>
  <w:style w:type="paragraph" w:styleId="Heading5">
    <w:name w:val="heading 5"/>
    <w:basedOn w:val="Normal"/>
    <w:next w:val="Normal"/>
    <w:link w:val="Heading5Char"/>
    <w:uiPriority w:val="9"/>
    <w:unhideWhenUsed/>
    <w:qFormat/>
    <w:rsid w:val="002F4869"/>
    <w:pPr>
      <w:keepNext/>
      <w:keepLines/>
      <w:numPr>
        <w:ilvl w:val="4"/>
        <w:numId w:val="2"/>
      </w:numPr>
      <w:pBdr>
        <w:top w:val="single" w:sz="4" w:space="4" w:color="458BA9"/>
      </w:pBdr>
      <w:spacing w:before="300" w:after="60" w:line="240" w:lineRule="auto"/>
      <w:outlineLvl w:val="4"/>
    </w:pPr>
    <w:rPr>
      <w:rFonts w:ascii="Gill Sans" w:eastAsiaTheme="majorEastAsia" w:hAnsi="Gill Sans" w:cstheme="majorBidi"/>
      <w:b/>
      <w:color w:val="2F5496" w:themeColor="accent5" w:themeShade="BF"/>
      <w:sz w:val="24"/>
      <w:szCs w:val="20"/>
      <w:lang w:val="en-GB"/>
    </w:rPr>
  </w:style>
  <w:style w:type="paragraph" w:styleId="Heading6">
    <w:name w:val="heading 6"/>
    <w:basedOn w:val="Normal"/>
    <w:next w:val="Normal"/>
    <w:link w:val="Heading6Char"/>
    <w:uiPriority w:val="9"/>
    <w:unhideWhenUsed/>
    <w:qFormat/>
    <w:rsid w:val="002F4869"/>
    <w:pPr>
      <w:keepNext/>
      <w:keepLines/>
      <w:numPr>
        <w:ilvl w:val="5"/>
        <w:numId w:val="2"/>
      </w:numPr>
      <w:spacing w:before="200" w:after="0" w:line="240" w:lineRule="auto"/>
      <w:outlineLvl w:val="5"/>
    </w:pPr>
    <w:rPr>
      <w:rFonts w:ascii="Century Gothic" w:eastAsiaTheme="majorEastAsia" w:hAnsi="Century Gothic" w:cstheme="majorBidi"/>
      <w:b/>
      <w:iCs/>
      <w:color w:val="2F5496" w:themeColor="accent5" w:themeShade="BF"/>
      <w:sz w:val="18"/>
      <w:szCs w:val="20"/>
      <w:lang w:val="en-GB"/>
    </w:rPr>
  </w:style>
  <w:style w:type="paragraph" w:styleId="Heading7">
    <w:name w:val="heading 7"/>
    <w:basedOn w:val="Normal"/>
    <w:next w:val="Normal"/>
    <w:link w:val="Heading7Char"/>
    <w:uiPriority w:val="9"/>
    <w:semiHidden/>
    <w:unhideWhenUsed/>
    <w:qFormat/>
    <w:rsid w:val="002F4869"/>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szCs w:val="20"/>
      <w:lang w:val="en-GB"/>
    </w:rPr>
  </w:style>
  <w:style w:type="paragraph" w:styleId="Heading8">
    <w:name w:val="heading 8"/>
    <w:basedOn w:val="Normal"/>
    <w:next w:val="Normal"/>
    <w:link w:val="Heading8Char"/>
    <w:uiPriority w:val="9"/>
    <w:semiHidden/>
    <w:unhideWhenUsed/>
    <w:qFormat/>
    <w:rsid w:val="002F4869"/>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2F4869"/>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69"/>
    <w:rPr>
      <w:rFonts w:ascii="Century Gothic" w:eastAsiaTheme="majorEastAsia" w:hAnsi="Century Gothic" w:cstheme="majorBidi"/>
      <w:color w:val="1F3864" w:themeColor="accent5" w:themeShade="80"/>
      <w:sz w:val="40"/>
      <w:szCs w:val="40"/>
      <w:lang w:val="en-GB"/>
    </w:rPr>
  </w:style>
  <w:style w:type="character" w:customStyle="1" w:styleId="Heading2Char">
    <w:name w:val="Heading 2 Char"/>
    <w:aliases w:val="SubPara Char,sub-para Char"/>
    <w:basedOn w:val="DefaultParagraphFont"/>
    <w:link w:val="Heading2"/>
    <w:uiPriority w:val="9"/>
    <w:rsid w:val="002F4869"/>
    <w:rPr>
      <w:rFonts w:ascii="Century Gothic" w:eastAsiaTheme="majorEastAsia" w:hAnsi="Century Gothic" w:cstheme="majorBidi"/>
      <w:bCs/>
      <w:color w:val="1F3864" w:themeColor="accent5" w:themeShade="80"/>
      <w:sz w:val="36"/>
      <w:szCs w:val="26"/>
      <w:lang w:val="en-GB"/>
    </w:rPr>
  </w:style>
  <w:style w:type="character" w:customStyle="1" w:styleId="Heading3Char">
    <w:name w:val="Heading 3 Char"/>
    <w:aliases w:val="Sub2Para Char,h3 Char,sub-sub-para Char"/>
    <w:basedOn w:val="DefaultParagraphFont"/>
    <w:link w:val="Heading3"/>
    <w:uiPriority w:val="9"/>
    <w:rsid w:val="002F4869"/>
    <w:rPr>
      <w:rFonts w:ascii="Century Gothic" w:eastAsiaTheme="majorEastAsia" w:hAnsi="Century Gothic" w:cstheme="majorBidi"/>
      <w:bCs/>
      <w:color w:val="1F3864" w:themeColor="accent5" w:themeShade="80"/>
      <w:sz w:val="28"/>
      <w:szCs w:val="20"/>
      <w:lang w:val="en-GB"/>
    </w:rPr>
  </w:style>
  <w:style w:type="character" w:customStyle="1" w:styleId="Heading4Char">
    <w:name w:val="Heading 4 Char"/>
    <w:basedOn w:val="DefaultParagraphFont"/>
    <w:link w:val="Heading4"/>
    <w:uiPriority w:val="9"/>
    <w:rsid w:val="002F4869"/>
    <w:rPr>
      <w:rFonts w:ascii="Century Gothic" w:eastAsiaTheme="majorEastAsia" w:hAnsi="Century Gothic" w:cstheme="majorBidi"/>
      <w:bCs/>
      <w:iCs/>
      <w:color w:val="1F3864" w:themeColor="accent5" w:themeShade="80"/>
      <w:szCs w:val="20"/>
      <w:lang w:val="en-GB"/>
    </w:rPr>
  </w:style>
  <w:style w:type="character" w:customStyle="1" w:styleId="Heading5Char">
    <w:name w:val="Heading 5 Char"/>
    <w:basedOn w:val="DefaultParagraphFont"/>
    <w:link w:val="Heading5"/>
    <w:uiPriority w:val="9"/>
    <w:rsid w:val="002F4869"/>
    <w:rPr>
      <w:rFonts w:ascii="Gill Sans" w:eastAsiaTheme="majorEastAsia" w:hAnsi="Gill Sans" w:cstheme="majorBidi"/>
      <w:b/>
      <w:color w:val="2F5496" w:themeColor="accent5" w:themeShade="BF"/>
      <w:sz w:val="24"/>
      <w:szCs w:val="20"/>
      <w:lang w:val="en-GB"/>
    </w:rPr>
  </w:style>
  <w:style w:type="character" w:customStyle="1" w:styleId="Heading6Char">
    <w:name w:val="Heading 6 Char"/>
    <w:basedOn w:val="DefaultParagraphFont"/>
    <w:link w:val="Heading6"/>
    <w:uiPriority w:val="9"/>
    <w:rsid w:val="002F4869"/>
    <w:rPr>
      <w:rFonts w:ascii="Century Gothic" w:eastAsiaTheme="majorEastAsia" w:hAnsi="Century Gothic" w:cstheme="majorBidi"/>
      <w:b/>
      <w:iCs/>
      <w:color w:val="2F5496" w:themeColor="accent5" w:themeShade="BF"/>
      <w:sz w:val="18"/>
      <w:szCs w:val="20"/>
      <w:lang w:val="en-GB"/>
    </w:rPr>
  </w:style>
  <w:style w:type="character" w:customStyle="1" w:styleId="Heading7Char">
    <w:name w:val="Heading 7 Char"/>
    <w:basedOn w:val="DefaultParagraphFont"/>
    <w:link w:val="Heading7"/>
    <w:uiPriority w:val="9"/>
    <w:semiHidden/>
    <w:rsid w:val="002F4869"/>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2F4869"/>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F4869"/>
    <w:rPr>
      <w:rFonts w:asciiTheme="majorHAnsi" w:eastAsiaTheme="majorEastAsia" w:hAnsiTheme="majorHAnsi" w:cstheme="majorBidi"/>
      <w:i/>
      <w:iCs/>
      <w:color w:val="404040" w:themeColor="text1" w:themeTint="BF"/>
      <w:sz w:val="20"/>
      <w:szCs w:val="20"/>
      <w:lang w:val="en-GB"/>
    </w:rPr>
  </w:style>
  <w:style w:type="paragraph" w:customStyle="1" w:styleId="Body">
    <w:name w:val="Body"/>
    <w:basedOn w:val="Normal"/>
    <w:qFormat/>
    <w:rsid w:val="002F4869"/>
    <w:pPr>
      <w:spacing w:before="160" w:after="0" w:line="240" w:lineRule="auto"/>
    </w:pPr>
    <w:rPr>
      <w:rFonts w:ascii="Calibri" w:eastAsia="Times New Roman" w:hAnsi="Calibri" w:cs="Times New Roman"/>
      <w:color w:val="0D0D0D" w:themeColor="text1" w:themeTint="F2"/>
      <w:szCs w:val="20"/>
      <w:lang w:val="en-GB"/>
    </w:rPr>
  </w:style>
  <w:style w:type="paragraph" w:customStyle="1" w:styleId="BulletIndent0">
    <w:name w:val="Bullet Indent 0"/>
    <w:basedOn w:val="Body"/>
    <w:qFormat/>
    <w:rsid w:val="002F4869"/>
    <w:pPr>
      <w:numPr>
        <w:numId w:val="1"/>
      </w:numPr>
      <w:tabs>
        <w:tab w:val="left" w:pos="187"/>
      </w:tabs>
      <w:spacing w:before="40"/>
    </w:pPr>
  </w:style>
  <w:style w:type="paragraph" w:customStyle="1" w:styleId="BulletIndent1">
    <w:name w:val="Bullet Indent 1"/>
    <w:basedOn w:val="BulletIndent0"/>
    <w:qFormat/>
    <w:rsid w:val="002F4869"/>
    <w:pPr>
      <w:ind w:left="374"/>
    </w:pPr>
  </w:style>
  <w:style w:type="paragraph" w:customStyle="1" w:styleId="Note">
    <w:name w:val="Note"/>
    <w:basedOn w:val="Normal"/>
    <w:qFormat/>
    <w:rsid w:val="002F4869"/>
    <w:pPr>
      <w:spacing w:before="160" w:after="60" w:line="240" w:lineRule="auto"/>
      <w:ind w:left="561" w:hanging="561"/>
    </w:pPr>
    <w:rPr>
      <w:rFonts w:ascii="Calibri" w:eastAsia="Times New Roman" w:hAnsi="Calibri" w:cs="Times New Roman"/>
      <w:i/>
      <w:color w:val="454746"/>
      <w:szCs w:val="20"/>
      <w:lang w:val="en-GB"/>
    </w:rPr>
  </w:style>
  <w:style w:type="paragraph" w:styleId="Caption">
    <w:name w:val="caption"/>
    <w:basedOn w:val="Normal"/>
    <w:next w:val="CaptionAcknowledgement"/>
    <w:uiPriority w:val="35"/>
    <w:unhideWhenUsed/>
    <w:qFormat/>
    <w:rsid w:val="002F4869"/>
    <w:pPr>
      <w:spacing w:before="200" w:after="40" w:line="240" w:lineRule="auto"/>
      <w:jc w:val="center"/>
    </w:pPr>
    <w:rPr>
      <w:rFonts w:ascii="Calibri" w:eastAsia="Times New Roman" w:hAnsi="Calibri" w:cs="Times New Roman"/>
      <w:b/>
      <w:bCs/>
      <w:color w:val="2F5496" w:themeColor="accent5" w:themeShade="BF"/>
      <w:sz w:val="18"/>
      <w:szCs w:val="18"/>
      <w:lang w:val="en-GB"/>
    </w:rPr>
  </w:style>
  <w:style w:type="paragraph" w:customStyle="1" w:styleId="Normalbodytext">
    <w:name w:val="Normal body text"/>
    <w:basedOn w:val="Normal"/>
    <w:rsid w:val="002F4869"/>
    <w:pPr>
      <w:spacing w:before="120" w:after="240" w:line="280" w:lineRule="atLeast"/>
      <w:jc w:val="both"/>
    </w:pPr>
    <w:rPr>
      <w:rFonts w:ascii="Times New Roman" w:eastAsia="Times New Roman" w:hAnsi="Times New Roman" w:cs="Times New Roman"/>
      <w:color w:val="000000"/>
      <w:sz w:val="20"/>
      <w:szCs w:val="20"/>
      <w:lang w:val="en-GB"/>
    </w:rPr>
  </w:style>
  <w:style w:type="character" w:styleId="CommentReference">
    <w:name w:val="annotation reference"/>
    <w:uiPriority w:val="99"/>
    <w:semiHidden/>
    <w:unhideWhenUsed/>
    <w:rsid w:val="002F4869"/>
    <w:rPr>
      <w:sz w:val="18"/>
      <w:szCs w:val="18"/>
    </w:rPr>
  </w:style>
  <w:style w:type="paragraph" w:styleId="CommentText">
    <w:name w:val="annotation text"/>
    <w:basedOn w:val="Normal"/>
    <w:link w:val="CommentTextChar"/>
    <w:uiPriority w:val="99"/>
    <w:semiHidden/>
    <w:unhideWhenUsed/>
    <w:rsid w:val="002F4869"/>
    <w:pPr>
      <w:spacing w:after="0" w:line="240" w:lineRule="auto"/>
    </w:pPr>
    <w:rPr>
      <w:rFonts w:ascii="Calibri" w:eastAsia="Times New Roman" w:hAnsi="Calibri" w:cs="Times New Roman"/>
      <w:color w:val="000000"/>
      <w:sz w:val="24"/>
      <w:szCs w:val="24"/>
      <w:lang w:val="en-GB"/>
    </w:rPr>
  </w:style>
  <w:style w:type="character" w:customStyle="1" w:styleId="CommentTextChar">
    <w:name w:val="Comment Text Char"/>
    <w:basedOn w:val="DefaultParagraphFont"/>
    <w:link w:val="CommentText"/>
    <w:uiPriority w:val="99"/>
    <w:semiHidden/>
    <w:rsid w:val="002F4869"/>
    <w:rPr>
      <w:rFonts w:ascii="Calibri" w:eastAsia="Times New Roman" w:hAnsi="Calibri" w:cs="Times New Roman"/>
      <w:color w:val="000000"/>
      <w:sz w:val="24"/>
      <w:szCs w:val="24"/>
      <w:lang w:val="en-GB"/>
    </w:rPr>
  </w:style>
  <w:style w:type="paragraph" w:customStyle="1" w:styleId="BulletIndent1Note">
    <w:name w:val="Bullet Indent 1 Note"/>
    <w:basedOn w:val="Normal"/>
    <w:next w:val="BulletIndent1"/>
    <w:rsid w:val="002F4869"/>
    <w:pPr>
      <w:spacing w:after="40" w:line="240" w:lineRule="auto"/>
      <w:ind w:left="374"/>
    </w:pPr>
    <w:rPr>
      <w:rFonts w:ascii="Calibri" w:eastAsia="Times New Roman" w:hAnsi="Calibri" w:cs="Times New Roman"/>
      <w:i/>
      <w:noProof/>
      <w:color w:val="4C4C4C"/>
      <w:szCs w:val="20"/>
      <w:lang w:val="en-GB"/>
    </w:rPr>
  </w:style>
  <w:style w:type="paragraph" w:customStyle="1" w:styleId="CaptionAcknowledgement">
    <w:name w:val="Caption Acknowledgement"/>
    <w:basedOn w:val="Caption"/>
    <w:next w:val="Body"/>
    <w:rsid w:val="002F4869"/>
    <w:pPr>
      <w:spacing w:before="0" w:after="120"/>
    </w:pPr>
    <w:rPr>
      <w:b w:val="0"/>
      <w:i/>
    </w:rPr>
  </w:style>
  <w:style w:type="paragraph" w:styleId="BalloonText">
    <w:name w:val="Balloon Text"/>
    <w:basedOn w:val="Normal"/>
    <w:link w:val="BalloonTextChar"/>
    <w:uiPriority w:val="99"/>
    <w:semiHidden/>
    <w:unhideWhenUsed/>
    <w:rsid w:val="002F4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86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4869"/>
    <w:pPr>
      <w:spacing w:after="160"/>
    </w:pPr>
    <w:rPr>
      <w:rFonts w:asciiTheme="minorHAnsi" w:eastAsiaTheme="minorHAnsi" w:hAnsiTheme="minorHAnsi" w:cstheme="minorBidi"/>
      <w:b/>
      <w:bCs/>
      <w:color w:val="auto"/>
      <w:sz w:val="20"/>
      <w:szCs w:val="20"/>
      <w:lang w:val="en-NZ"/>
    </w:rPr>
  </w:style>
  <w:style w:type="character" w:customStyle="1" w:styleId="CommentSubjectChar">
    <w:name w:val="Comment Subject Char"/>
    <w:basedOn w:val="CommentTextChar"/>
    <w:link w:val="CommentSubject"/>
    <w:uiPriority w:val="99"/>
    <w:semiHidden/>
    <w:rsid w:val="002F4869"/>
    <w:rPr>
      <w:rFonts w:ascii="Calibri" w:eastAsia="Times New Roman" w:hAnsi="Calibri" w:cs="Times New Roman"/>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NIWA</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Baddock</dc:creator>
  <cp:keywords/>
  <dc:description/>
  <cp:lastModifiedBy>Evan Baddock</cp:lastModifiedBy>
  <cp:revision>2</cp:revision>
  <dcterms:created xsi:type="dcterms:W3CDTF">2017-02-08T02:55:00Z</dcterms:created>
  <dcterms:modified xsi:type="dcterms:W3CDTF">2017-02-08T03:01:00Z</dcterms:modified>
</cp:coreProperties>
</file>