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F9" w:rsidRDefault="00DC23F9" w:rsidP="00BC2F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Meeting of Directors of WMO RTCs in RA-I</w:t>
      </w:r>
      <w:r w:rsidR="00BC2F0C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and Collaborating Partners</w:t>
      </w:r>
    </w:p>
    <w:p w:rsidR="00E23E95" w:rsidRDefault="00E23E95" w:rsidP="00DC23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D86329" w:rsidRPr="00D84F89" w:rsidRDefault="00E23E95" w:rsidP="00E23E9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Outcomes of WMO 18</w:t>
      </w:r>
      <w:r w:rsidRPr="00FB786D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Congress and EC 71  in the context of implementation of </w:t>
      </w:r>
      <w:r w:rsidR="006F52A6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WMO Global Campus</w:t>
      </w: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Initiative</w:t>
      </w:r>
      <w:r w:rsidR="00FF073E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, </w:t>
      </w: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Concept of </w:t>
      </w:r>
      <w:r w:rsidR="00FF073E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University Collaboration</w:t>
      </w: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on Education and Training</w:t>
      </w:r>
      <w:r w:rsidR="00DC23F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,</w:t>
      </w:r>
      <w:r w:rsidR="00FF073E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 SYMET 13 </w:t>
      </w: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Recommendations in WMO RA I </w:t>
      </w:r>
    </w:p>
    <w:p w:rsidR="006F52A6" w:rsidRDefault="00D86329" w:rsidP="00B102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(Cairo</w:t>
      </w:r>
      <w:r w:rsidR="00FF073E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, Egypt </w:t>
      </w:r>
      <w:r w:rsidR="00B102C1"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28 October  - 1 November </w:t>
      </w:r>
      <w:r w:rsidRPr="00D84F8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2019)</w:t>
      </w:r>
    </w:p>
    <w:p w:rsidR="00DC23F9" w:rsidRDefault="00DC23F9" w:rsidP="00B102C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6F52A6" w:rsidRDefault="00EC3ECC" w:rsidP="0029703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Provisional  Agenda</w:t>
      </w:r>
    </w:p>
    <w:p w:rsidR="001003D2" w:rsidRDefault="001003D2" w:rsidP="0029703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>Daily Timeframes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Departure from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Raddison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Blu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: 08:15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Departure from Royal Marshal Hotel: 8:45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Session begins: 09:15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Morning Coffee: 10:40-11:00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Lunch: 13:00-14:00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Afternoon Coffee: 15:00-15:20</w:t>
      </w:r>
    </w:p>
    <w:p w:rsidR="001003D2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Consultation time for Chairs &amp; Rapporteurs, Side meetings: 16:30</w:t>
      </w:r>
    </w:p>
    <w:p w:rsidR="00461DA4" w:rsidRDefault="00461DA4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Departure to hotels: 17:00</w:t>
      </w:r>
    </w:p>
    <w:p w:rsidR="001003D2" w:rsidRPr="00D84F89" w:rsidRDefault="001003D2" w:rsidP="00B0270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7046E9" w:rsidRPr="007046E9" w:rsidRDefault="007046E9" w:rsidP="007046E9">
      <w:pPr>
        <w:shd w:val="clear" w:color="auto" w:fill="FFFFFF"/>
        <w:spacing w:after="0" w:line="240" w:lineRule="auto"/>
      </w:pPr>
    </w:p>
    <w:p w:rsidR="00921D88" w:rsidRPr="00191459" w:rsidRDefault="00921D88" w:rsidP="00191459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</w:pPr>
      <w:r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Day </w:t>
      </w:r>
      <w:r w:rsidR="00C31642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1 </w:t>
      </w:r>
      <w:r w:rsidR="00BF3CB1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Setting the c</w:t>
      </w:r>
      <w:r w:rsidR="00473E59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ontext</w:t>
      </w:r>
      <w:r w:rsidR="00C310D8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br/>
      </w:r>
    </w:p>
    <w:p w:rsidR="00C31642" w:rsidRPr="00D84F89" w:rsidRDefault="00C31642" w:rsidP="00C3164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>Opening session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: Meeting goals and agenda review</w:t>
      </w:r>
    </w:p>
    <w:p w:rsidR="00C31642" w:rsidRDefault="00C31642" w:rsidP="00191459">
      <w:pPr>
        <w:pStyle w:val="ListParagraph"/>
        <w:shd w:val="clear" w:color="auto" w:fill="FFFFFF"/>
        <w:spacing w:after="0" w:line="240" w:lineRule="auto"/>
        <w:ind w:left="644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F745D1" w:rsidRPr="00D84F89" w:rsidRDefault="007046E9" w:rsidP="001914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1914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Presentation </w:t>
      </w:r>
      <w:r w:rsidR="00BF3CB1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and discussion </w:t>
      </w:r>
      <w:r w:rsidRPr="00191459">
        <w:rPr>
          <w:rFonts w:ascii="Verdana" w:eastAsia="Times New Roman" w:hAnsi="Verdana" w:cs="Arial"/>
          <w:color w:val="3C4043"/>
          <w:spacing w:val="3"/>
          <w:sz w:val="20"/>
          <w:szCs w:val="20"/>
        </w:rPr>
        <w:t>on o</w:t>
      </w:r>
      <w:r w:rsidR="00F745D1" w:rsidRPr="00191459">
        <w:rPr>
          <w:rFonts w:ascii="Verdana" w:eastAsia="Times New Roman" w:hAnsi="Verdana" w:cs="Arial"/>
          <w:color w:val="3C4043"/>
          <w:spacing w:val="3"/>
          <w:sz w:val="20"/>
          <w:szCs w:val="20"/>
        </w:rPr>
        <w:t>utcomes of 18</w:t>
      </w:r>
      <w:r w:rsidR="00F745D1" w:rsidRPr="00191459">
        <w:rPr>
          <w:rFonts w:ascii="Verdana" w:eastAsia="Times New Roman" w:hAnsi="Verdana" w:cs="Arial"/>
          <w:color w:val="3C4043"/>
          <w:spacing w:val="3"/>
          <w:sz w:val="20"/>
          <w:szCs w:val="20"/>
          <w:vertAlign w:val="superscript"/>
        </w:rPr>
        <w:t>th</w:t>
      </w:r>
      <w:r w:rsidR="00F745D1" w:rsidRPr="001914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WMO Congress and 71</w:t>
      </w:r>
      <w:r w:rsidR="00F745D1" w:rsidRPr="00191459">
        <w:rPr>
          <w:rFonts w:ascii="Verdana" w:eastAsia="Times New Roman" w:hAnsi="Verdana" w:cs="Arial"/>
          <w:color w:val="3C4043"/>
          <w:spacing w:val="3"/>
          <w:sz w:val="20"/>
          <w:szCs w:val="20"/>
          <w:vertAlign w:val="superscript"/>
        </w:rPr>
        <w:t>st</w:t>
      </w:r>
      <w:r w:rsidR="00F745D1" w:rsidRPr="001914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Executive Council</w:t>
      </w:r>
      <w:r w:rsidR="00BF3CB1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, including </w:t>
      </w:r>
      <w:r w:rsidR="00DC23F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their </w:t>
      </w:r>
      <w:r w:rsidR="00364605">
        <w:rPr>
          <w:rFonts w:ascii="Verdana" w:eastAsia="Times New Roman" w:hAnsi="Verdana" w:cs="Arial"/>
          <w:color w:val="3C4043"/>
          <w:spacing w:val="3"/>
          <w:sz w:val="20"/>
          <w:szCs w:val="20"/>
        </w:rPr>
        <w:t>impacts, challenges and opportunities for RTCs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and partners</w:t>
      </w:r>
    </w:p>
    <w:p w:rsidR="00E5121A" w:rsidRPr="00D84F89" w:rsidRDefault="00E5121A" w:rsidP="00355416">
      <w:pPr>
        <w:pStyle w:val="ListParagraph"/>
        <w:shd w:val="clear" w:color="auto" w:fill="FFFFFF"/>
        <w:spacing w:after="0" w:line="240" w:lineRule="auto"/>
      </w:pPr>
    </w:p>
    <w:p w:rsidR="00F745D1" w:rsidRPr="00D84F89" w:rsidRDefault="00DC23F9" w:rsidP="001914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Review </w:t>
      </w:r>
      <w:r w:rsidR="00473E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and discussion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of</w:t>
      </w:r>
      <w:r w:rsidR="00F745D1"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r w:rsidR="002116CC">
        <w:rPr>
          <w:rFonts w:ascii="Verdana" w:eastAsia="Times New Roman" w:hAnsi="Verdana" w:cs="Arial"/>
          <w:color w:val="3C4043"/>
          <w:spacing w:val="3"/>
          <w:sz w:val="20"/>
          <w:szCs w:val="20"/>
        </w:rPr>
        <w:t>the Thirteenth Symposium on Education and Training (</w:t>
      </w:r>
      <w:r w:rsidR="00F745D1"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>SYMET-13</w:t>
      </w:r>
      <w:r w:rsidR="002116CC">
        <w:rPr>
          <w:rFonts w:ascii="Verdana" w:eastAsia="Times New Roman" w:hAnsi="Verdana" w:cs="Arial"/>
          <w:color w:val="3C4043"/>
          <w:spacing w:val="3"/>
          <w:sz w:val="20"/>
          <w:szCs w:val="20"/>
        </w:rPr>
        <w:t>)</w:t>
      </w:r>
      <w:r w:rsidR="00F745D1"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and its outcome</w:t>
      </w:r>
      <w:r w:rsidR="00355416">
        <w:rPr>
          <w:rFonts w:ascii="Verdana" w:eastAsia="Times New Roman" w:hAnsi="Verdana" w:cs="Arial"/>
          <w:color w:val="3C4043"/>
          <w:spacing w:val="3"/>
          <w:sz w:val="20"/>
          <w:szCs w:val="20"/>
        </w:rPr>
        <w:t>s</w:t>
      </w:r>
      <w:r w:rsidR="00F745D1"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 </w:t>
      </w:r>
    </w:p>
    <w:p w:rsidR="00F745D1" w:rsidRPr="00D84F89" w:rsidRDefault="00F745D1" w:rsidP="00F745D1">
      <w:pPr>
        <w:pStyle w:val="ListParagraph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394C6D" w:rsidRPr="00EE61A1" w:rsidRDefault="00473E59" w:rsidP="00EE61A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473E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Presentation </w:t>
      </w:r>
      <w:r w:rsidR="00BF3CB1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and discussion </w:t>
      </w:r>
      <w:r w:rsidRPr="00473E5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on WMO Global campus concepts, goals and </w:t>
      </w:r>
      <w:r w:rsidR="005B7105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global and regional </w:t>
      </w:r>
      <w:r w:rsidRPr="00473E59">
        <w:rPr>
          <w:rFonts w:ascii="Verdana" w:eastAsia="Times New Roman" w:hAnsi="Verdana" w:cs="Arial"/>
          <w:color w:val="3C4043"/>
          <w:spacing w:val="3"/>
          <w:sz w:val="20"/>
          <w:szCs w:val="20"/>
        </w:rPr>
        <w:t>activities</w:t>
      </w:r>
      <w:r w:rsidR="005B7105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. </w:t>
      </w:r>
    </w:p>
    <w:p w:rsidR="00473E59" w:rsidRDefault="00473E59" w:rsidP="00C3164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C31642" w:rsidRDefault="00C31642" w:rsidP="0054530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Day 2</w:t>
      </w:r>
      <w:r w:rsidR="00473E59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 </w:t>
      </w:r>
      <w:r w:rsidR="00D855DB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Examining</w:t>
      </w:r>
      <w:r w:rsidR="00473E59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 the current </w:t>
      </w:r>
      <w:r w:rsidR="0054530D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situation </w:t>
      </w:r>
    </w:p>
    <w:p w:rsidR="00C31642" w:rsidRPr="00701B41" w:rsidRDefault="00C31642" w:rsidP="00C3164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C31642" w:rsidRPr="00D84F89" w:rsidRDefault="00C31642" w:rsidP="00C31642">
      <w:pPr>
        <w:pStyle w:val="ListParagraph"/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E2299A" w:rsidRDefault="00C31642" w:rsidP="00C316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D84F89">
        <w:rPr>
          <w:rFonts w:ascii="Verdana" w:eastAsia="Times New Roman" w:hAnsi="Verdana" w:cs="Arial"/>
          <w:color w:val="3C4043"/>
          <w:spacing w:val="3"/>
          <w:sz w:val="20"/>
          <w:szCs w:val="20"/>
        </w:rPr>
        <w:t>Presentation on WMO education and training programme</w:t>
      </w:r>
      <w:r w:rsid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, include roles of RTCs</w:t>
      </w:r>
    </w:p>
    <w:p w:rsidR="00E2299A" w:rsidRDefault="00E2299A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structure and working methods of WMO ETR</w:t>
      </w:r>
    </w:p>
    <w:p w:rsidR="00D573B0" w:rsidRDefault="00D573B0" w:rsidP="00D57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development of training capacity in the region</w:t>
      </w:r>
    </w:p>
    <w:p w:rsidR="00E2299A" w:rsidRDefault="00C31642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RTC</w:t>
      </w:r>
      <w:r w:rsidR="00E2299A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network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</w:p>
    <w:p w:rsidR="00D573B0" w:rsidRDefault="00D573B0" w:rsidP="00C310D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Roles and operations of RTCs</w:t>
      </w:r>
    </w:p>
    <w:p w:rsidR="00D573B0" w:rsidRDefault="00D573B0" w:rsidP="00C310D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RTC assessment criteria</w:t>
      </w:r>
    </w:p>
    <w:p w:rsidR="00D573B0" w:rsidRDefault="00D573B0" w:rsidP="00D573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m</w:t>
      </w:r>
      <w:r w:rsidRPr="00D573B0">
        <w:rPr>
          <w:rFonts w:ascii="Verdana" w:eastAsia="Times New Roman" w:hAnsi="Verdana" w:cs="Arial"/>
          <w:color w:val="3C4043"/>
          <w:spacing w:val="3"/>
          <w:sz w:val="20"/>
          <w:szCs w:val="20"/>
        </w:rPr>
        <w:t>odalities for getting RTCs more involved in WMO activities and other multilateral projects on capacity development</w:t>
      </w:r>
    </w:p>
    <w:p w:rsidR="00897414" w:rsidRDefault="00897414" w:rsidP="008974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355416">
        <w:t>Discussion</w:t>
      </w:r>
      <w:r>
        <w:t xml:space="preserve"> of</w:t>
      </w:r>
      <w:r w:rsidRPr="00355416">
        <w:t xml:space="preserve">  </w:t>
      </w:r>
      <w:r>
        <w:t>the r</w:t>
      </w:r>
      <w:r w:rsidRPr="00355416">
        <w:t>ole</w:t>
      </w:r>
      <w:r>
        <w:t>s</w:t>
      </w:r>
      <w:r w:rsidRPr="00355416">
        <w:t xml:space="preserve"> of RTCs and challenges to meeting responsibilities</w:t>
      </w:r>
    </w:p>
    <w:p w:rsidR="00897414" w:rsidRDefault="00897414" w:rsidP="008974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working with collaborating partners</w:t>
      </w:r>
    </w:p>
    <w:p w:rsidR="00897414" w:rsidRDefault="00897414" w:rsidP="008974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donor-funded projects</w:t>
      </w:r>
    </w:p>
    <w:p w:rsidR="00897414" w:rsidRDefault="00897414" w:rsidP="008974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Example</w:t>
      </w:r>
      <w:r w:rsidR="0062662F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1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: PACC/RRC and TOPACS</w:t>
      </w:r>
    </w:p>
    <w:p w:rsidR="0062662F" w:rsidRDefault="0062662F" w:rsidP="0089741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Example 2: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Ibero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-American RTCs Collaboration</w:t>
      </w:r>
    </w:p>
    <w:p w:rsidR="00C31642" w:rsidRPr="0004727F" w:rsidRDefault="00C31642" w:rsidP="00C31642">
      <w:pPr>
        <w:pStyle w:val="ListParagraph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C31642" w:rsidRPr="00D84F89" w:rsidRDefault="00C31642" w:rsidP="00C31642">
      <w:pPr>
        <w:pStyle w:val="ListParagraph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37591E" w:rsidRDefault="00C31642" w:rsidP="00C316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Presentations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by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each of the RA-I RTCs and external collaborating partners in attendance</w:t>
      </w:r>
      <w:r w:rsidR="0037591E">
        <w:rPr>
          <w:rFonts w:ascii="Verdana" w:eastAsia="Times New Roman" w:hAnsi="Verdana" w:cs="Arial"/>
          <w:color w:val="222222"/>
          <w:sz w:val="20"/>
          <w:szCs w:val="20"/>
        </w:rPr>
        <w:t xml:space="preserve"> (maximum 15 minutes)</w:t>
      </w:r>
    </w:p>
    <w:p w:rsidR="0037591E" w:rsidRDefault="00C31642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>What are your key strengths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>?</w:t>
      </w:r>
    </w:p>
    <w:p w:rsidR="0037591E" w:rsidRDefault="0037591E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lastRenderedPageBreak/>
        <w:t>What are your best examples of collaboration with other training institutions?</w:t>
      </w:r>
    </w:p>
    <w:p w:rsidR="0037591E" w:rsidRDefault="00C31642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What you can offer 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>(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>other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>)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RTCs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in RA-I?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</w:p>
    <w:p w:rsidR="00C31642" w:rsidRDefault="00C31642" w:rsidP="0019145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How could you benefit from 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>the (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>other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>)</w:t>
      </w:r>
      <w:r w:rsidRP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RTCs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in RA-I?</w:t>
      </w:r>
      <w:r w:rsidR="0037591E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7591E" w:rsidRPr="005A5C91" w:rsidRDefault="0037591E" w:rsidP="00F911F9">
      <w:pPr>
        <w:shd w:val="clear" w:color="auto" w:fill="FFFFFF"/>
        <w:spacing w:after="0" w:line="240" w:lineRule="auto"/>
        <w:ind w:left="284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(</w:t>
      </w:r>
      <w:r w:rsid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>2</w:t>
      </w:r>
      <w:r w:rsidR="005A373C">
        <w:rPr>
          <w:rFonts w:ascii="Verdana" w:eastAsia="Times New Roman" w:hAnsi="Verdana" w:cs="Arial"/>
          <w:color w:val="3C4043"/>
          <w:spacing w:val="3"/>
          <w:sz w:val="20"/>
          <w:szCs w:val="20"/>
        </w:rPr>
        <w:t>1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r w:rsidR="007A17C4">
        <w:rPr>
          <w:rFonts w:ascii="Verdana" w:eastAsia="Times New Roman" w:hAnsi="Verdana" w:cs="Arial"/>
          <w:color w:val="3C4043"/>
          <w:spacing w:val="3"/>
          <w:sz w:val="20"/>
          <w:szCs w:val="20"/>
        </w:rPr>
        <w:t>total p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resentations</w:t>
      </w:r>
      <w:r w:rsidR="007A17C4">
        <w:rPr>
          <w:rFonts w:ascii="Verdana" w:eastAsia="Times New Roman" w:hAnsi="Verdana" w:cs="Arial"/>
          <w:color w:val="3C4043"/>
          <w:spacing w:val="3"/>
          <w:sz w:val="20"/>
          <w:szCs w:val="20"/>
        </w:rPr>
        <w:t>,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by </w:t>
      </w:r>
      <w:r w:rsidR="00F911F9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WMO Regional Office Africa,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RTC Algeria IHFR, </w:t>
      </w:r>
      <w:r w:rsid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RTC Egypt EMA,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RTC Kenya IMTR, RTC Kenya UON, RTC Madagascar ESPA, RTC Niger EAMAC, RTC Niger AGRHYMET, RTC Nigeria FUTA, RTC Nigeria MRTI, RTC South Africa SAWS. Followed by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Maroc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VLab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CoE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, CMA, NUIST, AEMET, </w:t>
      </w:r>
      <w:r w:rsid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ECMWF/Copernicus,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EUMETSAT, IBIMET, </w:t>
      </w:r>
      <w:proofErr w:type="spellStart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Meteo</w:t>
      </w:r>
      <w:proofErr w:type="spellEnd"/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France, University of Reading, UCAR/COMET)</w:t>
      </w:r>
    </w:p>
    <w:p w:rsidR="007046E9" w:rsidRPr="007046E9" w:rsidRDefault="007046E9" w:rsidP="007046E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921D88" w:rsidRPr="00191459" w:rsidRDefault="00921D88" w:rsidP="00297038">
      <w:pPr>
        <w:keepNext/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</w:pPr>
      <w:r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Day 3</w:t>
      </w:r>
      <w:r w:rsidR="00191459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 </w:t>
      </w:r>
      <w:r w:rsidR="0054530D" w:rsidRPr="00191459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Examining the current </w:t>
      </w:r>
      <w:r w:rsidR="0054530D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situation continues, and issues emerging</w:t>
      </w:r>
    </w:p>
    <w:p w:rsidR="00C31642" w:rsidRDefault="00C31642" w:rsidP="00297038">
      <w:pPr>
        <w:keepNext/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8312CD" w:rsidRPr="00C310D8" w:rsidRDefault="00355416" w:rsidP="00C310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Continue</w:t>
      </w:r>
      <w:r w:rsidR="008312CD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d</w:t>
      </w:r>
      <w:r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presentations from RTCs and collaborating partners</w:t>
      </w:r>
      <w:r w:rsidR="00393CB4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(as necessary)</w:t>
      </w:r>
      <w:r w:rsidR="008312CD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C310D8" w:rsidRDefault="008312CD" w:rsidP="00C310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Summary of </w:t>
      </w:r>
      <w:r w:rsidR="00292A53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the </w:t>
      </w:r>
      <w:r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strengths, offerings, and benefits of collaboration</w:t>
      </w:r>
      <w:r w:rsidR="00292A53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arising from the presentations</w:t>
      </w:r>
      <w:r w:rsidR="00393CB4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(form to be provided</w:t>
      </w:r>
      <w:r w:rsidR="00D573B0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to presenters</w:t>
      </w:r>
      <w:r w:rsidR="00393CB4"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)</w:t>
      </w:r>
      <w:r w:rsid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C31642" w:rsidRPr="00C310D8" w:rsidRDefault="0054530D" w:rsidP="00C310D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Issues emerging</w:t>
      </w:r>
    </w:p>
    <w:p w:rsidR="00355416" w:rsidRDefault="00355416" w:rsidP="0035541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355416" w:rsidRPr="007046E9" w:rsidRDefault="00355416" w:rsidP="0035541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921D88" w:rsidRDefault="00921D88" w:rsidP="00191459">
      <w:pPr>
        <w:keepNext/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 w:rsidRPr="005B7105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Day 4</w:t>
      </w:r>
      <w:r w:rsidR="00191459" w:rsidRPr="005B7105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 Action Strategies and Plans</w:t>
      </w:r>
      <w:r w:rsidRPr="00701B41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</w:t>
      </w:r>
    </w:p>
    <w:p w:rsidR="00C31642" w:rsidRDefault="00C31642" w:rsidP="00292A53">
      <w:pPr>
        <w:keepNext/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54530D" w:rsidRDefault="0054530D" w:rsidP="0054530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C310D8">
        <w:rPr>
          <w:rFonts w:ascii="Verdana" w:eastAsia="Times New Roman" w:hAnsi="Verdana" w:cs="Arial"/>
          <w:color w:val="3C4043"/>
          <w:spacing w:val="3"/>
          <w:sz w:val="20"/>
          <w:szCs w:val="20"/>
        </w:rPr>
        <w:t>Presentation and discussion on WMO Global Campus university collaboration opportunities</w:t>
      </w:r>
      <w:r w:rsidR="00E438DB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E438DB" w:rsidRPr="00C310D8" w:rsidRDefault="00E438DB" w:rsidP="0054530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Presentation and discussion on WMO Global Campus NMHS collaboration opportunities</w:t>
      </w:r>
    </w:p>
    <w:p w:rsidR="0054530D" w:rsidRPr="00FB786D" w:rsidRDefault="0054530D" w:rsidP="00FB786D">
      <w:pPr>
        <w:pStyle w:val="ListParagraph"/>
        <w:shd w:val="clear" w:color="auto" w:fill="FFFFFF"/>
        <w:spacing w:after="0" w:line="240" w:lineRule="auto"/>
        <w:ind w:left="644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184F96" w:rsidRPr="00184F96" w:rsidRDefault="00184F96" w:rsidP="00184F9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</w:pP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>Discussion on b</w:t>
      </w:r>
      <w:r w:rsidR="00C31642"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>enefits of the WMO Global Campus for the region</w:t>
      </w: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. </w:t>
      </w: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>Identification of collaboration opportunities for RA-I RTCs and collaborating partners</w:t>
      </w: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and modalities for collaboration</w:t>
      </w: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>.</w:t>
      </w:r>
      <w:r w:rsidRPr="00184F96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6441B" w:rsidRPr="00184F96" w:rsidRDefault="005A5C91" w:rsidP="00184F9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</w:pPr>
      <w:r w:rsidRPr="00184F96">
        <w:t>Breakout group discussions to develop proposals</w:t>
      </w:r>
      <w:r w:rsidR="007A17C4" w:rsidRPr="00184F96">
        <w:br/>
      </w:r>
    </w:p>
    <w:p w:rsidR="005A5C91" w:rsidRDefault="005A5C91" w:rsidP="007A17C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Reports on proposal development</w:t>
      </w:r>
      <w:bookmarkStart w:id="0" w:name="_GoBack"/>
      <w:bookmarkEnd w:id="0"/>
      <w:r w:rsidR="007A17C4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6441B" w:rsidRPr="0036441B" w:rsidRDefault="0036441B" w:rsidP="00021BB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Selection of </w:t>
      </w:r>
      <w:r w:rsidR="00021BBB">
        <w:rPr>
          <w:rFonts w:ascii="Verdana" w:eastAsia="Times New Roman" w:hAnsi="Verdana" w:cs="Arial"/>
          <w:color w:val="3C4043"/>
          <w:spacing w:val="3"/>
          <w:sz w:val="20"/>
          <w:szCs w:val="20"/>
        </w:rPr>
        <w:t>priorities for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collaboration opportunities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6441B" w:rsidRPr="007046E9" w:rsidRDefault="0036441B" w:rsidP="007A17C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36441B">
        <w:rPr>
          <w:rFonts w:ascii="Verdana" w:eastAsia="Times New Roman" w:hAnsi="Verdana" w:cs="Arial"/>
          <w:color w:val="3C4043"/>
          <w:spacing w:val="3"/>
          <w:sz w:val="20"/>
          <w:szCs w:val="20"/>
        </w:rPr>
        <w:t>Development of design</w:t>
      </w:r>
      <w:r w:rsidR="007046E9">
        <w:rPr>
          <w:rFonts w:ascii="Verdana" w:eastAsia="Times New Roman" w:hAnsi="Verdana" w:cs="Arial"/>
          <w:color w:val="3C4043"/>
          <w:spacing w:val="3"/>
          <w:sz w:val="20"/>
          <w:szCs w:val="20"/>
        </w:rPr>
        <w:t>s</w:t>
      </w:r>
      <w:r w:rsidRPr="0036441B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and implementation plans for collaborative opportunities.</w:t>
      </w:r>
      <w:r w:rsidR="00021BBB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(Breakout Groups)</w:t>
      </w:r>
    </w:p>
    <w:p w:rsidR="006F52A6" w:rsidRPr="00D84F89" w:rsidRDefault="006F52A6" w:rsidP="006F52A6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921D88" w:rsidRDefault="00921D88" w:rsidP="000938C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  <w:r w:rsidRPr="005B7105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>Day 5</w:t>
      </w:r>
      <w:r w:rsidR="00191459" w:rsidRPr="005B7105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  <w:bdr w:val="single" w:sz="4" w:space="0" w:color="auto"/>
        </w:rPr>
        <w:t xml:space="preserve"> Formalizing Action Plans</w:t>
      </w:r>
      <w:r w:rsidRPr="00701B41"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  <w:t xml:space="preserve"> </w:t>
      </w:r>
    </w:p>
    <w:p w:rsidR="00813670" w:rsidRPr="00701B41" w:rsidRDefault="00813670" w:rsidP="000938C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C4043"/>
          <w:spacing w:val="3"/>
          <w:sz w:val="20"/>
          <w:szCs w:val="20"/>
        </w:rPr>
      </w:pPr>
    </w:p>
    <w:p w:rsidR="000938C0" w:rsidRPr="00297038" w:rsidRDefault="009F5FD5" w:rsidP="002970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Continued development of designs and implementation plans for collaborative opportunities.</w:t>
      </w:r>
      <w:r w:rsidR="00021BBB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(Breakout Groups)</w:t>
      </w:r>
      <w:r w:rsidR="007A17C4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6441B" w:rsidRPr="00297038" w:rsidRDefault="001A17FF" w:rsidP="002970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Discussions on </w:t>
      </w:r>
      <w:r w:rsidR="005A5C91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selected 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options for joint collaboration</w:t>
      </w:r>
      <w:r w:rsidR="0036441B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</w:p>
    <w:p w:rsidR="0036441B" w:rsidRPr="00297038" w:rsidRDefault="0036441B" w:rsidP="002970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>Establish</w:t>
      </w:r>
      <w:r w:rsidR="00292A53">
        <w:rPr>
          <w:rFonts w:ascii="Verdana" w:eastAsia="Times New Roman" w:hAnsi="Verdana" w:cs="Arial"/>
          <w:color w:val="3C4043"/>
          <w:spacing w:val="3"/>
          <w:sz w:val="20"/>
          <w:szCs w:val="20"/>
        </w:rPr>
        <w:t>ing</w:t>
      </w:r>
      <w:r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working arrangements</w:t>
      </w:r>
    </w:p>
    <w:p w:rsidR="000938C0" w:rsidRPr="00D84F89" w:rsidRDefault="000938C0" w:rsidP="00297038">
      <w:pPr>
        <w:pStyle w:val="ListParagraph"/>
        <w:shd w:val="clear" w:color="auto" w:fill="FFFFFF"/>
        <w:spacing w:after="0" w:line="240" w:lineRule="auto"/>
        <w:ind w:left="644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</w:p>
    <w:p w:rsidR="007046E9" w:rsidRPr="00297038" w:rsidRDefault="00921D88" w:rsidP="002970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>Final conclusions and recommendations</w:t>
      </w:r>
      <w:r w:rsidR="007046E9" w:rsidRP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br/>
      </w:r>
      <w:r w:rsidRP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 </w:t>
      </w:r>
    </w:p>
    <w:p w:rsidR="00D84F89" w:rsidRPr="00297038" w:rsidRDefault="00D84F89" w:rsidP="002970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3C4043"/>
          <w:spacing w:val="3"/>
          <w:sz w:val="20"/>
          <w:szCs w:val="20"/>
        </w:rPr>
      </w:pPr>
      <w:r w:rsidRPr="00297038">
        <w:rPr>
          <w:rFonts w:ascii="Verdana" w:eastAsia="Times New Roman" w:hAnsi="Verdana" w:cs="Arial"/>
          <w:color w:val="3C4043"/>
          <w:spacing w:val="3"/>
          <w:sz w:val="20"/>
          <w:szCs w:val="20"/>
        </w:rPr>
        <w:t xml:space="preserve">Closure </w:t>
      </w:r>
    </w:p>
    <w:sectPr w:rsidR="00D84F89" w:rsidRPr="00297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EC" w:rsidRDefault="00036BEC" w:rsidP="00B102C1">
      <w:pPr>
        <w:spacing w:after="0" w:line="240" w:lineRule="auto"/>
      </w:pPr>
      <w:r>
        <w:separator/>
      </w:r>
    </w:p>
  </w:endnote>
  <w:endnote w:type="continuationSeparator" w:id="0">
    <w:p w:rsidR="00036BEC" w:rsidRDefault="00036BEC" w:rsidP="00B1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EC" w:rsidRDefault="00036BEC" w:rsidP="00B102C1">
      <w:pPr>
        <w:spacing w:after="0" w:line="240" w:lineRule="auto"/>
      </w:pPr>
      <w:r>
        <w:separator/>
      </w:r>
    </w:p>
  </w:footnote>
  <w:footnote w:type="continuationSeparator" w:id="0">
    <w:p w:rsidR="00036BEC" w:rsidRDefault="00036BEC" w:rsidP="00B10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B77"/>
    <w:multiLevelType w:val="hybridMultilevel"/>
    <w:tmpl w:val="234EE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090A"/>
    <w:multiLevelType w:val="hybridMultilevel"/>
    <w:tmpl w:val="17A43626"/>
    <w:lvl w:ilvl="0" w:tplc="D8CA3E7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EA4631"/>
    <w:multiLevelType w:val="hybridMultilevel"/>
    <w:tmpl w:val="C20CD5F0"/>
    <w:lvl w:ilvl="0" w:tplc="D3F4EC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235EE"/>
    <w:multiLevelType w:val="hybridMultilevel"/>
    <w:tmpl w:val="B99AFEE4"/>
    <w:lvl w:ilvl="0" w:tplc="6EBA2EE6">
      <w:start w:val="1"/>
      <w:numFmt w:val="decimal"/>
      <w:lvlText w:val="%1."/>
      <w:lvlJc w:val="left"/>
      <w:pPr>
        <w:ind w:left="720" w:hanging="360"/>
      </w:pPr>
      <w:rPr>
        <w:rFonts w:hint="default"/>
        <w:color w:val="3C404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18A7"/>
    <w:multiLevelType w:val="hybridMultilevel"/>
    <w:tmpl w:val="7BECA2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337B7"/>
    <w:multiLevelType w:val="hybridMultilevel"/>
    <w:tmpl w:val="C9BA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00A53"/>
    <w:multiLevelType w:val="hybridMultilevel"/>
    <w:tmpl w:val="83420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51989"/>
    <w:multiLevelType w:val="hybridMultilevel"/>
    <w:tmpl w:val="310AB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715C"/>
    <w:multiLevelType w:val="hybridMultilevel"/>
    <w:tmpl w:val="E8AEFB0A"/>
    <w:lvl w:ilvl="0" w:tplc="705E4EE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EDE6FE6"/>
    <w:multiLevelType w:val="hybridMultilevel"/>
    <w:tmpl w:val="E8AEFB0A"/>
    <w:lvl w:ilvl="0" w:tplc="705E4EE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E82239"/>
    <w:multiLevelType w:val="hybridMultilevel"/>
    <w:tmpl w:val="B7B64EC0"/>
    <w:lvl w:ilvl="0" w:tplc="D8CA3E7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3C25FE7"/>
    <w:multiLevelType w:val="hybridMultilevel"/>
    <w:tmpl w:val="7460F2F0"/>
    <w:lvl w:ilvl="0" w:tplc="D8CA3E7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BB0E93"/>
    <w:multiLevelType w:val="hybridMultilevel"/>
    <w:tmpl w:val="8FA8AD06"/>
    <w:lvl w:ilvl="0" w:tplc="D8CA3E7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B862EFB"/>
    <w:multiLevelType w:val="hybridMultilevel"/>
    <w:tmpl w:val="0590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32DEB"/>
    <w:multiLevelType w:val="hybridMultilevel"/>
    <w:tmpl w:val="AED80580"/>
    <w:lvl w:ilvl="0" w:tplc="D8CA3E7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6"/>
    <w:rsid w:val="00020143"/>
    <w:rsid w:val="00021BBB"/>
    <w:rsid w:val="00036BEC"/>
    <w:rsid w:val="00053C3B"/>
    <w:rsid w:val="00086893"/>
    <w:rsid w:val="000938C0"/>
    <w:rsid w:val="000A48A7"/>
    <w:rsid w:val="000A6D11"/>
    <w:rsid w:val="000E3807"/>
    <w:rsid w:val="001003D2"/>
    <w:rsid w:val="00184F96"/>
    <w:rsid w:val="00191459"/>
    <w:rsid w:val="001A17FF"/>
    <w:rsid w:val="001D7528"/>
    <w:rsid w:val="001F68D6"/>
    <w:rsid w:val="002116CC"/>
    <w:rsid w:val="0026616B"/>
    <w:rsid w:val="00292A53"/>
    <w:rsid w:val="00297038"/>
    <w:rsid w:val="002E7D36"/>
    <w:rsid w:val="003162E6"/>
    <w:rsid w:val="00355416"/>
    <w:rsid w:val="0036441B"/>
    <w:rsid w:val="00364605"/>
    <w:rsid w:val="00372BB9"/>
    <w:rsid w:val="0037591E"/>
    <w:rsid w:val="00393CB4"/>
    <w:rsid w:val="00394C6D"/>
    <w:rsid w:val="003B3609"/>
    <w:rsid w:val="00454C01"/>
    <w:rsid w:val="00461DA4"/>
    <w:rsid w:val="00473E59"/>
    <w:rsid w:val="004C1606"/>
    <w:rsid w:val="004F1898"/>
    <w:rsid w:val="0054530D"/>
    <w:rsid w:val="005A373C"/>
    <w:rsid w:val="005A5C91"/>
    <w:rsid w:val="005B7105"/>
    <w:rsid w:val="0062662F"/>
    <w:rsid w:val="00631D47"/>
    <w:rsid w:val="00646CB1"/>
    <w:rsid w:val="00680439"/>
    <w:rsid w:val="006F52A6"/>
    <w:rsid w:val="00701B41"/>
    <w:rsid w:val="007046E9"/>
    <w:rsid w:val="007A17C4"/>
    <w:rsid w:val="00813670"/>
    <w:rsid w:val="008312CD"/>
    <w:rsid w:val="00855548"/>
    <w:rsid w:val="00874F90"/>
    <w:rsid w:val="00897414"/>
    <w:rsid w:val="008F6464"/>
    <w:rsid w:val="00917FCB"/>
    <w:rsid w:val="00921D88"/>
    <w:rsid w:val="00973FF2"/>
    <w:rsid w:val="009D40F6"/>
    <w:rsid w:val="009F5FD5"/>
    <w:rsid w:val="00A17180"/>
    <w:rsid w:val="00B02199"/>
    <w:rsid w:val="00B02707"/>
    <w:rsid w:val="00B102C1"/>
    <w:rsid w:val="00BC2F0C"/>
    <w:rsid w:val="00BF3CB1"/>
    <w:rsid w:val="00C310D8"/>
    <w:rsid w:val="00C31642"/>
    <w:rsid w:val="00D573B0"/>
    <w:rsid w:val="00D76D42"/>
    <w:rsid w:val="00D84F89"/>
    <w:rsid w:val="00D85337"/>
    <w:rsid w:val="00D855DB"/>
    <w:rsid w:val="00D86329"/>
    <w:rsid w:val="00DC23F9"/>
    <w:rsid w:val="00E2299A"/>
    <w:rsid w:val="00E23E95"/>
    <w:rsid w:val="00E438DB"/>
    <w:rsid w:val="00E5121A"/>
    <w:rsid w:val="00E71F85"/>
    <w:rsid w:val="00EC3ECC"/>
    <w:rsid w:val="00EE61A1"/>
    <w:rsid w:val="00F30644"/>
    <w:rsid w:val="00F745D1"/>
    <w:rsid w:val="00F911F9"/>
    <w:rsid w:val="00FB786D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8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1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C1"/>
  </w:style>
  <w:style w:type="paragraph" w:styleId="Footer">
    <w:name w:val="footer"/>
    <w:basedOn w:val="Normal"/>
    <w:link w:val="FooterChar"/>
    <w:uiPriority w:val="99"/>
    <w:unhideWhenUsed/>
    <w:rsid w:val="00B10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8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1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C1"/>
  </w:style>
  <w:style w:type="paragraph" w:styleId="Footer">
    <w:name w:val="footer"/>
    <w:basedOn w:val="Normal"/>
    <w:link w:val="FooterChar"/>
    <w:uiPriority w:val="99"/>
    <w:unhideWhenUsed/>
    <w:rsid w:val="00B10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Yinka R. Adebayo</dc:creator>
  <cp:lastModifiedBy>Patrick Parrish</cp:lastModifiedBy>
  <cp:revision>2</cp:revision>
  <cp:lastPrinted>2019-08-05T13:34:00Z</cp:lastPrinted>
  <dcterms:created xsi:type="dcterms:W3CDTF">2019-10-21T14:47:00Z</dcterms:created>
  <dcterms:modified xsi:type="dcterms:W3CDTF">2019-10-21T14:47:00Z</dcterms:modified>
</cp:coreProperties>
</file>